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05257" w:rsidRPr="00A05257" w14:paraId="24D2683F" w14:textId="77777777" w:rsidTr="00A05257">
        <w:trPr>
          <w:tblCellSpacing w:w="0" w:type="dxa"/>
        </w:trPr>
        <w:tc>
          <w:tcPr>
            <w:tcW w:w="3348" w:type="dxa"/>
            <w:shd w:val="clear" w:color="auto" w:fill="FFFFFF"/>
            <w:tcMar>
              <w:top w:w="0" w:type="dxa"/>
              <w:left w:w="108" w:type="dxa"/>
              <w:bottom w:w="0" w:type="dxa"/>
              <w:right w:w="108" w:type="dxa"/>
            </w:tcMar>
            <w:hideMark/>
          </w:tcPr>
          <w:p w14:paraId="205EAA8D" w14:textId="77777777" w:rsidR="00A05257" w:rsidRPr="00A05257" w:rsidRDefault="00A05257" w:rsidP="00A05257">
            <w:pPr>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THỦ TƯỚNG CHÍNH PHỦ</w:t>
            </w:r>
            <w:r w:rsidRPr="00A05257">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14:paraId="6AC1B890" w14:textId="77777777" w:rsidR="00A05257" w:rsidRPr="00A05257" w:rsidRDefault="00A05257" w:rsidP="00A05257">
            <w:pPr>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CỘNG HÒA XÃ HỘI CHỦ NGHĨA VIỆT NAM</w:t>
            </w:r>
            <w:r w:rsidRPr="00A05257">
              <w:rPr>
                <w:rFonts w:ascii="Times New Roman" w:eastAsia="Times New Roman" w:hAnsi="Times New Roman" w:cs="Times New Roman"/>
                <w:b/>
                <w:bCs/>
                <w:color w:val="000000"/>
                <w:sz w:val="24"/>
                <w:szCs w:val="24"/>
                <w:lang w:val="vi-VN"/>
              </w:rPr>
              <w:br/>
              <w:t>Độc lập - Tự do - Hạnh phúc</w:t>
            </w:r>
            <w:r w:rsidRPr="00A05257">
              <w:rPr>
                <w:rFonts w:ascii="Times New Roman" w:eastAsia="Times New Roman" w:hAnsi="Times New Roman" w:cs="Times New Roman"/>
                <w:b/>
                <w:bCs/>
                <w:color w:val="000000"/>
                <w:sz w:val="24"/>
                <w:szCs w:val="24"/>
                <w:lang w:val="vi-VN"/>
              </w:rPr>
              <w:br/>
              <w:t>---------------</w:t>
            </w:r>
          </w:p>
        </w:tc>
      </w:tr>
      <w:tr w:rsidR="00A05257" w:rsidRPr="00A05257" w14:paraId="57DE9E9F" w14:textId="77777777" w:rsidTr="00A05257">
        <w:trPr>
          <w:tblCellSpacing w:w="0" w:type="dxa"/>
        </w:trPr>
        <w:tc>
          <w:tcPr>
            <w:tcW w:w="3348" w:type="dxa"/>
            <w:shd w:val="clear" w:color="auto" w:fill="FFFFFF"/>
            <w:tcMar>
              <w:top w:w="0" w:type="dxa"/>
              <w:left w:w="108" w:type="dxa"/>
              <w:bottom w:w="0" w:type="dxa"/>
              <w:right w:w="108" w:type="dxa"/>
            </w:tcMar>
            <w:hideMark/>
          </w:tcPr>
          <w:p w14:paraId="36F5FCFF" w14:textId="3976A2C3" w:rsidR="00A05257" w:rsidRPr="00A05257" w:rsidRDefault="00A05257" w:rsidP="00A05257">
            <w:pPr>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rPr>
              <w:t xml:space="preserve">           </w:t>
            </w:r>
            <w:r w:rsidRPr="00A05257">
              <w:rPr>
                <w:rFonts w:ascii="Times New Roman" w:eastAsia="Times New Roman" w:hAnsi="Times New Roman" w:cs="Times New Roman"/>
                <w:color w:val="000000"/>
                <w:sz w:val="24"/>
                <w:szCs w:val="24"/>
                <w:lang w:val="vi-VN"/>
              </w:rPr>
              <w:t>Số: 13/2022/QĐ-TTg</w:t>
            </w:r>
          </w:p>
        </w:tc>
        <w:tc>
          <w:tcPr>
            <w:tcW w:w="5508" w:type="dxa"/>
            <w:shd w:val="clear" w:color="auto" w:fill="FFFFFF"/>
            <w:tcMar>
              <w:top w:w="0" w:type="dxa"/>
              <w:left w:w="108" w:type="dxa"/>
              <w:bottom w:w="0" w:type="dxa"/>
              <w:right w:w="108" w:type="dxa"/>
            </w:tcMar>
            <w:hideMark/>
          </w:tcPr>
          <w:p w14:paraId="15F7A0C0" w14:textId="15E940D7" w:rsidR="00A05257" w:rsidRPr="00A05257" w:rsidRDefault="00A05257" w:rsidP="00A05257">
            <w:pPr>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rPr>
              <w:t xml:space="preserve">                                </w:t>
            </w:r>
            <w:r w:rsidRPr="00A05257">
              <w:rPr>
                <w:rFonts w:ascii="Times New Roman" w:eastAsia="Times New Roman" w:hAnsi="Times New Roman" w:cs="Times New Roman"/>
                <w:i/>
                <w:iCs/>
                <w:color w:val="000000"/>
                <w:sz w:val="24"/>
                <w:szCs w:val="24"/>
                <w:lang w:val="vi-VN"/>
              </w:rPr>
              <w:t>Hà Nội, ngày 09 tháng 5 năm 2022</w:t>
            </w:r>
          </w:p>
        </w:tc>
      </w:tr>
    </w:tbl>
    <w:p w14:paraId="12780E6F"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 </w:t>
      </w:r>
    </w:p>
    <w:p w14:paraId="22CE758B" w14:textId="77777777" w:rsidR="00A05257" w:rsidRPr="00A05257" w:rsidRDefault="00A05257" w:rsidP="00A052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30"/>
          <w:szCs w:val="30"/>
          <w:lang w:val="vi-VN"/>
        </w:rPr>
        <w:t>QUYẾT ĐỊNH</w:t>
      </w:r>
    </w:p>
    <w:p w14:paraId="65801855" w14:textId="77777777" w:rsidR="00A05257" w:rsidRPr="00A05257" w:rsidRDefault="00A05257" w:rsidP="00A052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VỀ THỰC HIỆN CHÍNH SÁCH HỖ TRỢ BẢO HIỂM NÔNG NGHIỆP</w:t>
      </w:r>
    </w:p>
    <w:p w14:paraId="7E324F9D"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6B2538F6"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lang w:val="vi-VN"/>
        </w:rPr>
        <w:t>Căn cứ Luật Kinh doanh bảo hiểm ngày 09 tháng 12 năm 2000; Luật sửa đổi, bổ sung một số điều của Luật Kinh doanh bảo hiểm ngày 24 tháng 11 năm 2010;</w:t>
      </w:r>
    </w:p>
    <w:p w14:paraId="0E072A2F"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lang w:val="vi-VN"/>
        </w:rPr>
        <w:t>Căn cứ Nghị quyết số 32/2016/QH14 ngày 23 tháng 11 năm 2016 của Quốc hội về tiếp tục nâng cao năng lực, hiệu quả việc thực hiện chương trình mục tiêu quốc gia xây dựng nông thôn mới gắn với tái cơ cấu ngành nông nghiệp;</w:t>
      </w:r>
    </w:p>
    <w:p w14:paraId="43EA0772"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lang w:val="vi-VN"/>
        </w:rPr>
        <w:t>Căn cứ Nghị định số 58/2018/NĐ-CP ngày 18 tháng 4 năm 2018 của Chính phủ về bảo hiểm nông nghiệp;</w:t>
      </w:r>
    </w:p>
    <w:p w14:paraId="042C6700"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lang w:val="vi-VN"/>
        </w:rPr>
        <w:t>Theo đề nghị của Bộ trưởng Bộ Tài chính và Bộ trưởng Bộ Nông nghiệp và Phát triển nông thôn;</w:t>
      </w:r>
    </w:p>
    <w:p w14:paraId="36782286"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i/>
          <w:iCs/>
          <w:color w:val="000000"/>
          <w:sz w:val="24"/>
          <w:szCs w:val="24"/>
          <w:lang w:val="vi-VN"/>
        </w:rPr>
        <w:t>Thủ tướng Chính phủ ban hành Quyết định về việc thực hiện chính sách hỗ trợ bảo hiểm nông nghiệp.</w:t>
      </w:r>
    </w:p>
    <w:p w14:paraId="39D13902" w14:textId="77777777" w:rsidR="00A05257" w:rsidRPr="00A05257" w:rsidRDefault="00A05257" w:rsidP="00A052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Chương </w:t>
      </w:r>
      <w:r w:rsidRPr="00A05257">
        <w:rPr>
          <w:rFonts w:ascii="Times New Roman" w:eastAsia="Times New Roman" w:hAnsi="Times New Roman" w:cs="Times New Roman"/>
          <w:b/>
          <w:bCs/>
          <w:color w:val="000000"/>
          <w:sz w:val="24"/>
          <w:szCs w:val="24"/>
        </w:rPr>
        <w:t>I</w:t>
      </w:r>
    </w:p>
    <w:p w14:paraId="2A84E2C3" w14:textId="77777777" w:rsidR="00A05257" w:rsidRPr="00A05257" w:rsidRDefault="00A05257" w:rsidP="00A052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30"/>
          <w:szCs w:val="30"/>
          <w:lang w:val="vi-VN"/>
        </w:rPr>
        <w:t>QUY ĐỊNH CHUNG</w:t>
      </w:r>
    </w:p>
    <w:p w14:paraId="46FC0EEF"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1. Phạm vi điều chỉnh</w:t>
      </w:r>
    </w:p>
    <w:p w14:paraId="4ED5B439"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Quyết định này quy định về việc thực hiện chính sách hỗ trợ bảo hiểm nông nghiệp theo quy định tại Nghị định số 58/2018/NĐ-CP ngày 18 tháng 4 năm 2018 của Chính phủ về bảo hiểm nông nghiệp bao gồm: Đối tượng tổ chức, cá nhân sản xuất nông nghiệp được hỗ trợ; loại cây trồng, vật nuôi, nuôi trồng thủy sản được hỗ trợ; loại rủi ro được bảo hiểm được hỗ trợ; mức hỗ trợ; thời gian thực hiện hỗ trợ; địa bàn được hỗ trợ; mức hỗ trợ từ ngân sách trung ương cho ngân sách địa phương để thực hiện hỗ trợ phí bảo hiểm nông nghiệp.</w:t>
      </w:r>
    </w:p>
    <w:p w14:paraId="776FE0E5"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2. Đối tượng áp dụng</w:t>
      </w:r>
    </w:p>
    <w:p w14:paraId="1A13AA81"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Quyết định này áp dụng đối với:</w:t>
      </w:r>
    </w:p>
    <w:p w14:paraId="7F80CD55"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Tổ chức, cá nhân trồng lúa, cao su, hồ tiêu, điều, cà phê; chăn nuôi trâu, bò, lợn và nuôi tôm sú, tôm thẻ chân trắng, cá tra thuộc đối tượng quy định tại khoản 2 Điều 22 Nghị định số 58/2018/NĐ-CP ngày 18 tháng 4 năm 2018 của Chính phủ về bảo hiểm nông nghiệp.</w:t>
      </w:r>
    </w:p>
    <w:p w14:paraId="0B52381C"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Doanh nghiệp bảo hiểm phi nhân thọ, chi nhánh doanh nghiệp bảo hiểm phi nhân thọ nước ngoài, doanh nghiệp tái bảo hiểm được thành lập, tổ chức và hoạt động theo quy định của Luật Kinh doanh bảo hiểm và quy định pháp luật có liên quan.</w:t>
      </w:r>
    </w:p>
    <w:p w14:paraId="6C3F31F5"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lastRenderedPageBreak/>
        <w:t>3. Cơ quan, tổ chức, cá nhân khác có liên quan đến việc thực hiện chính sách hỗ trợ bảo hiểm nông nghiệp.</w:t>
      </w:r>
    </w:p>
    <w:p w14:paraId="4F6C6F27" w14:textId="77777777" w:rsidR="00A05257" w:rsidRPr="00A05257" w:rsidRDefault="00A05257" w:rsidP="00A052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Chương II</w:t>
      </w:r>
    </w:p>
    <w:p w14:paraId="0DF0FB6B" w14:textId="77777777" w:rsidR="00A05257" w:rsidRPr="00A05257" w:rsidRDefault="00A05257" w:rsidP="00A052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30"/>
          <w:szCs w:val="30"/>
          <w:lang w:val="vi-VN"/>
        </w:rPr>
        <w:t>CHÍNH SÁCH HỖ TRỢ BẢO HIỂM NÔNG NGHIỆP</w:t>
      </w:r>
    </w:p>
    <w:p w14:paraId="70E9FFF3"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3. Đối tượng bảo hiểm được hỗ trợ phí bảo hiểm nông nghiệp</w:t>
      </w:r>
    </w:p>
    <w:p w14:paraId="5C0D0370"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Cây trồng: Lúa, cao su, hồ tiêu, điều, cà phê.</w:t>
      </w:r>
    </w:p>
    <w:p w14:paraId="7A49CAC2"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Vật nuôi: Trâu, bò, lợn.</w:t>
      </w:r>
    </w:p>
    <w:p w14:paraId="7BF463F7"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3. Nuôi trồng thủy sản: Tôm sú, tôm thẻ chân trắng, cá tra.</w:t>
      </w:r>
    </w:p>
    <w:p w14:paraId="69AC05B8"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4. Mức hỗ trợ phí bảo hiểm nông nghiệp</w:t>
      </w:r>
    </w:p>
    <w:p w14:paraId="076461F4"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Cá nhân sản xuất nông nghiệp thuộc diện hộ nghèo, hộ cận nghèo theo quy định tại Nghị định số 07/2021/NĐ-CP ngày 27 tháng 01 năm 2021 của Chính phủ quy định chuẩn nghèo đa chiều giai đoạn 2021 - 2025 và các văn bản sửa đổi, bổ sung, thay thế (nếu có): Hỗ trợ mức tối đa theo quy định tại khoản 1 Điều 19 Nghị định số 58/2018/NĐ-CP và các văn bản sửa đổi, bổ sung, thay thế (nếu có).</w:t>
      </w:r>
    </w:p>
    <w:p w14:paraId="310E75A7"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Cá nhân sản xuất nông nghiệp không thuộc diện hộ nghèo, cận nghèo quy định tại khoản 1 Điều này: Hỗ trợ mức tối đa theo quy định tại khoản 2 Điều 19 Nghị định số 58/2018/NĐ-CP và các văn bản sửa đổi, bổ sung, thay thế (nếu có).</w:t>
      </w:r>
    </w:p>
    <w:p w14:paraId="12C4615C"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3. Tổ chức sản xuất nông nghiệp: Hỗ trợ mức tối đa theo quy định tại khoản 3 Điều 19 Nghị định số 58/2018/NĐ-CP và các văn bản sửa đổi, bổ sung, thay thế (nếu có) khi đáp ứng đầy đủ quy định sau:</w:t>
      </w:r>
    </w:p>
    <w:p w14:paraId="12D7CA29"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a) Doanh nghiệp được thành lập theo Luật Doanh nghiệp hoặc hợp tác xã được thành lập theo Luật Hợp tác xã.</w:t>
      </w:r>
    </w:p>
    <w:p w14:paraId="7B734229"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b) Có hợp đồng liên kết gắn với sản phẩm nông nghiệp là các đối tượng được hưởng chính sách hỗ trợ bảo hiểm nông nghiệp, đảm bảo quy định tại Điều 4 và Điều 5 Nghị định số 98/2018/NĐ-CP ngày 05 tháng 7 năm 2018 của Chính phủ về chính sách khuyến khích phát triển hợp tác xã, liên kết trong sản xuất và tiêu thụ sản phẩm nông nghiệp và văn bản sửa đổi, bổ sung, thay thế (nếu có).</w:t>
      </w:r>
    </w:p>
    <w:p w14:paraId="0FBE12BD"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c) Có sản phẩm nông nghiệp là các đối tượng được hưởng chính sách hỗ trợ bảo hiểm nông nghiệp được chứng nhận đảm bảo chất lượng, an toàn thực phẩm của cơ quan có thẩm quyền hoặc được công nhận là doanh nghiệp nông nghiệp ứng dụng công nghệ cao theo quy định pháp luật về tiêu chí, thẩm quyền, trình tự, thủ tục công nhận doanh nghiệp nông nghiệp ứng dụng công nghệ cao.</w:t>
      </w:r>
    </w:p>
    <w:p w14:paraId="09E1893F"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5. Rủi ro được bảo hiểm được hỗ trợ phí bảo hiểm nông nghiệp</w:t>
      </w:r>
    </w:p>
    <w:p w14:paraId="2C5AEC49"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Rủi ro được bảo hiểm được hỗ trợ đối với cây lúa, cao su, hồ tiêu, điều, cà phê</w:t>
      </w:r>
    </w:p>
    <w:p w14:paraId="3727816A"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a) Thiên tai đối với cây lúa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Thiên tai phải được công bố hoặc xác nhận của cơ quan nhà nước có thẩm quyền.</w:t>
      </w:r>
    </w:p>
    <w:p w14:paraId="019C91A2"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lastRenderedPageBreak/>
        <w:t>Thiên tai đối với cây cao su, hồ tiêu, điều, cà phê bao gồm: Bão, áp thấp nhiệt đới, lốc, sét, lũ, lũ quét, ngập lụt, mưa đá, sương muối. Thiên tai phải được công bố hoặc xác nhận của cơ quan nhà nước có thẩm quyền.</w:t>
      </w:r>
    </w:p>
    <w:p w14:paraId="6E8BAA52"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b) Dịch bệnh đối với cây lúa bao gồm: Bệnh vàng lùn, lùn xoắn lá, lùn sọc đen, đạo ôn, bạc lá, đốm sọc; dịch rầy nâu, rầy lưng trắng; sâu đục thân, sâu cuốn lá nhỏ, sâu năn; chuột. Dịch bệnh phải được công bố hoặc xác nhận của cơ quan nhà nước có thẩm quyền.</w:t>
      </w:r>
    </w:p>
    <w:p w14:paraId="7F120E03"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Không hỗ trợ cho các rủi ro dịch bệnh đối với cây cao su, hồ tiêu, điều, cà phê.</w:t>
      </w:r>
    </w:p>
    <w:p w14:paraId="72B088FD"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Rủi ro được bảo hiểm được hỗ trợ đối với trâu, bò, lợn</w:t>
      </w:r>
    </w:p>
    <w:p w14:paraId="79845482"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a) Thiên tai bao gồm: Bão, áp thấp nhiệt đới, lốc, sét, mưa lớn, lũ, lũ quét, ngập lụt, sạt lở đất do mưa lũ hoặc dòng chảy, sụt lún đất do mưa lũ hoặc dòng chảy, nắng nóng, hạn hán, rét hại, mưa đá, sương muối, động đất, sóng thần. Thiên tai phải được công bố hoặc xác nhận của cơ quan nhà nước có thẩm quyền.</w:t>
      </w:r>
    </w:p>
    <w:p w14:paraId="64AAF024"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b) Dịch bệnh bao gồm: Bệnh lở mồm long móng, tai xanh ở lợn (hội chứng rối loạn sinh sản và hô hấp ở lợn), nhiệt thán, xoắn khuẩn. Dịch bệnh phải được công bố hoặc xác nhận của cơ quan nhà nước có thẩm quyền.</w:t>
      </w:r>
    </w:p>
    <w:p w14:paraId="0CCB8B18"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3. Rủi ro được bảo hiểm được hỗ trợ đối với tôm sú, tôm thẻ chân trắng, cá tra</w:t>
      </w:r>
    </w:p>
    <w:p w14:paraId="77A3CE6A"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a) Thiên tai bao gồm: Bão, áp thấp nhiệt đới, lốc, sét, mưa lớn, lũ, ngập lụt, sạt lở đất do mưa lũ hoặc dòng chảy, sụt lún đất do mưa lũ hoặc dòng chảy, nước dâng, xâm nhập mặn, nắng nóng, hạn hán, mưa đá, động đất, sóng thần. Thiên tai phải được công bố hoặc xác nhận của cơ quan nhà nước có thẩm quyền.</w:t>
      </w:r>
    </w:p>
    <w:p w14:paraId="6232A946"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b) Dịch bệnh: Không hỗ trợ cho các rủi ro dịch bệnh đối với tôm sú, tôm thẻ chân trắng, cá tra.</w:t>
      </w:r>
    </w:p>
    <w:p w14:paraId="4C94CA81"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6. Địa bàn được hỗ trợ phí bảo hiểm nông nghiệp</w:t>
      </w:r>
    </w:p>
    <w:p w14:paraId="03299C2C"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Đối với cây trồng:</w:t>
      </w:r>
    </w:p>
    <w:p w14:paraId="6E58E746"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a) Đối với cây lúa, tại các tỉnh: Thái Bình, Nam Định, Nghệ An, Hà Tĩnh, Bình Thuận, An Giang, Đồng Tháp.</w:t>
      </w:r>
    </w:p>
    <w:p w14:paraId="63AD5779"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b) Đối với cây cao su, tại các tỉnh: Kon Tum, Gia Lai, Đắk Lắk, Bình Thuận, Bình Phước, Tây Ninh, Bình Dương, Đồng Nai.</w:t>
      </w:r>
    </w:p>
    <w:p w14:paraId="0C01B538"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c) Đối với cây cà phê, tại các tỉnh: Sơn La, Kon Tum, Gia Lai, Đắk Lắk, Đắk Nông, Lâm Đồng, Bình Phước.</w:t>
      </w:r>
    </w:p>
    <w:p w14:paraId="3891ED47"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d) Đối với cây hồ tiêu, tại các tỉnh: Gia Lai, Đắk Lắk, Đắk Nông, Bình Phước, Đồng Nai, Bà Rịa - Vũng Tàu.</w:t>
      </w:r>
    </w:p>
    <w:p w14:paraId="51487EA7"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đ) Đối với cây điều, tại các tỉnh: Gia Lai, Đắk Lắk, Lâm Đồng, Bình Thuận, Bình Phước, Đồng Nai.</w:t>
      </w:r>
    </w:p>
    <w:p w14:paraId="652FBFE8"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Đối với vật nuôi:</w:t>
      </w:r>
    </w:p>
    <w:p w14:paraId="73E20F0E"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a) Đối với trâu, bò, tại các tỉnh, thành phố trực thuộc trung ương: Hà Giang, Vĩnh Phúc, Hà Nội, Thanh Hóa, Nghệ An, Bình Định, Gia Lai, Đắk Lắk, Lâm Đồng, Đồng Nai, Bình Dương.</w:t>
      </w:r>
    </w:p>
    <w:p w14:paraId="42687BE1"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b) Đối với lợn, tại các tỉnh, thành phố trực thuộc trung ương: Bắc Giang, Hà Nội, Thái Bình, Nam Định, Thanh Hóa, Nghệ An, Bình Định, Đắk Lắk, Đồng Nai.</w:t>
      </w:r>
    </w:p>
    <w:p w14:paraId="3D6540E1"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lastRenderedPageBreak/>
        <w:t>3. Đối với tôm sú, tôm thẻ chân trắng, cá tra, tại các tỉnh: Bến Tre, Trà Vinh, Sóc Trăng, Bạc Liêu, Cà Mau.</w:t>
      </w:r>
    </w:p>
    <w:p w14:paraId="7076BEEB"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Ủy ban nhân dân các tỉnh, thành phố trực thuộc trung ương thuộc địa bàn quy định tại khoản 1, khoản 2, khoản 3 Điều này tổ chức lựa chọn địa bàn được hỗ trợ phí bảo hiểm nông nghiệp theo quy định tại khoản 2 Điều 21 Nghị định số 58/2018/NĐ-CP ngày 18 tháng 4 năm 2018 của Chính phủ về bảo hiểm nông nghiệp.</w:t>
      </w:r>
    </w:p>
    <w:p w14:paraId="16872CA4"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7. Thời gian thực hiện hỗ trợ phí bảo hiểm nông nghiệp</w:t>
      </w:r>
    </w:p>
    <w:p w14:paraId="5AC85F60"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Thời gian thực hiện hỗ trợ phí bảo hiểm nông nghiệp từ ngày Quyết định này có hiệu lực đến hết ngày 31 tháng 12 năm 2025.</w:t>
      </w:r>
    </w:p>
    <w:p w14:paraId="53FFD0DF"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8. Mức hỗ trợ từ ngân sách trung ương cho ngân sách địa phương để thực hiện hỗ trợ phí bảo hiểm nông nghiệp</w:t>
      </w:r>
    </w:p>
    <w:p w14:paraId="17FCE38A"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Áp dụng mức hỗ trợ tối đa theo quy định tại Quyết định số 127/QĐ-TTg ngày 24 tháng 01 năm 2022 của Thủ tướng Chính phủ về nguyên tắc hỗ trợ có mục tiêu từ ngân sách trung ương cho ngân sách địa phương thực hiện các chính sách an sinh xã hội do Trung ương ban hành giai đoạn 2022 - 2025.</w:t>
      </w:r>
    </w:p>
    <w:p w14:paraId="5BB1E785"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Ủy ban nhân dân các tỉnh, thành phố trực thuộc trung ương thuộc địa bàn quy định tại khoản 1, khoản 2, khoản 3 Điều 6 có trách nhiệm bố trí ngân sách địa phương để hỗ trợ phí bảo hiểm nông nghiệp theo quy định tại Quyết định này.</w:t>
      </w:r>
    </w:p>
    <w:p w14:paraId="530BB09B"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Chương III</w:t>
      </w:r>
    </w:p>
    <w:p w14:paraId="02831B9B"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30"/>
          <w:szCs w:val="30"/>
          <w:lang w:val="vi-VN"/>
        </w:rPr>
        <w:t>ĐIỀU KHOẢN THI HÀNH</w:t>
      </w:r>
    </w:p>
    <w:p w14:paraId="7AC6AEFF"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9. Hiệu lực thi hành</w:t>
      </w:r>
    </w:p>
    <w:p w14:paraId="3334547E"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Quyết định này có hiệu lực từ ngày 24 tháng 06 năm 2022 đến hết ngày 31 tháng 12 năm 2025.</w:t>
      </w:r>
    </w:p>
    <w:p w14:paraId="799A26E2"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Quyết định này thay thế Quyết định số 22/2019/QĐ-TTg ngày 26 tháng 6 năm 2019 của Thủ tướng Chính phủ về thực hiện chính sách hỗ trợ bảo hiểm nông nghiệp và Quyết định số 03/2021/QĐ-TTg ngày 25 tháng 01 năm 2021 của Thủ tướng Chính phủ về việc sửa đổi, bổ sung một số điều của Quyết định số 22/2019/QĐ-TTg ngày 26 tháng 6 năm 2019 của Thủ tướng Chính phủ về thực hiện chính sách hỗ trợ bảo hiểm nông nghiệp.</w:t>
      </w:r>
    </w:p>
    <w:p w14:paraId="29D2A663"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b/>
          <w:bCs/>
          <w:color w:val="000000"/>
          <w:sz w:val="24"/>
          <w:szCs w:val="24"/>
          <w:lang w:val="vi-VN"/>
        </w:rPr>
        <w:t>Điều 10. Trách nhiệm thi hành</w:t>
      </w:r>
    </w:p>
    <w:p w14:paraId="1145E83A"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1. Bộ Tài chính chủ trì, phối hợp với các cơ quan liên quan tổng kết, đánh giá và đề xuất xây dựng dự thảo Quyết định giai đoạn sau năm 2025.</w:t>
      </w:r>
    </w:p>
    <w:p w14:paraId="41EABEC1"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A05257">
        <w:rPr>
          <w:rFonts w:ascii="Times New Roman" w:eastAsia="Times New Roman" w:hAnsi="Times New Roman" w:cs="Times New Roman"/>
          <w:color w:val="000000"/>
          <w:sz w:val="24"/>
          <w:szCs w:val="24"/>
          <w:lang w:val="vi-VN"/>
        </w:rPr>
        <w:t>2. Bộ trưởng Bộ Tài chính, Bộ trưởng Bộ Nông nghiệp và Phát triển nông thôn, Thủ trưởng cơ quan ngang bộ, Thủ trưởng cơ quan thuộc Chính phủ, Chủ tịch Ủy ban nhân dân các tỉnh, thành phố trực thuộc trung ương chịu trách nhiệm thi hành Quyết định này.</w:t>
      </w:r>
    </w:p>
    <w:p w14:paraId="65A4C91A" w14:textId="77777777" w:rsidR="00A05257" w:rsidRPr="00A05257" w:rsidRDefault="00A05257" w:rsidP="00A0525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A05257">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A05257" w:rsidRPr="00A05257" w14:paraId="1E83EFBD" w14:textId="77777777" w:rsidTr="00A05257">
        <w:trPr>
          <w:tblCellSpacing w:w="0" w:type="dxa"/>
        </w:trPr>
        <w:tc>
          <w:tcPr>
            <w:tcW w:w="4908" w:type="dxa"/>
            <w:shd w:val="clear" w:color="auto" w:fill="FFFFFF"/>
            <w:tcMar>
              <w:top w:w="0" w:type="dxa"/>
              <w:left w:w="108" w:type="dxa"/>
              <w:bottom w:w="0" w:type="dxa"/>
              <w:right w:w="108" w:type="dxa"/>
            </w:tcMar>
            <w:hideMark/>
          </w:tcPr>
          <w:p w14:paraId="7DC3E639" w14:textId="77777777" w:rsidR="00A05257" w:rsidRPr="00A05257" w:rsidRDefault="00A05257" w:rsidP="00A05257">
            <w:pPr>
              <w:spacing w:before="120" w:after="120" w:line="234" w:lineRule="atLeast"/>
              <w:rPr>
                <w:rFonts w:ascii="Times New Roman" w:eastAsia="Times New Roman" w:hAnsi="Times New Roman" w:cs="Times New Roman"/>
                <w:color w:val="000000"/>
                <w:sz w:val="18"/>
                <w:szCs w:val="18"/>
              </w:rPr>
            </w:pPr>
            <w:r w:rsidRPr="00A05257">
              <w:rPr>
                <w:rFonts w:ascii="Times New Roman" w:eastAsia="Times New Roman" w:hAnsi="Times New Roman" w:cs="Times New Roman"/>
                <w:b/>
                <w:bCs/>
                <w:i/>
                <w:iCs/>
                <w:color w:val="000000"/>
                <w:sz w:val="18"/>
                <w:szCs w:val="18"/>
                <w:lang w:val="vi-VN"/>
              </w:rPr>
              <w:br/>
              <w:t>Nơi nhận:</w:t>
            </w:r>
            <w:r w:rsidRPr="00A05257">
              <w:rPr>
                <w:rFonts w:ascii="Times New Roman" w:eastAsia="Times New Roman" w:hAnsi="Times New Roman" w:cs="Times New Roman"/>
                <w:b/>
                <w:bCs/>
                <w:i/>
                <w:iCs/>
                <w:color w:val="000000"/>
                <w:sz w:val="18"/>
                <w:szCs w:val="18"/>
                <w:lang w:val="vi-VN"/>
              </w:rPr>
              <w:br/>
            </w:r>
            <w:r w:rsidRPr="00A05257">
              <w:rPr>
                <w:rFonts w:ascii="Times New Roman" w:eastAsia="Times New Roman" w:hAnsi="Times New Roman" w:cs="Times New Roman"/>
                <w:color w:val="000000"/>
                <w:sz w:val="16"/>
                <w:szCs w:val="16"/>
                <w:lang w:val="vi-VN"/>
              </w:rPr>
              <w:t>- Ban Bí thư Trung ương Đảng;</w:t>
            </w:r>
            <w:r w:rsidRPr="00A05257">
              <w:rPr>
                <w:rFonts w:ascii="Times New Roman" w:eastAsia="Times New Roman" w:hAnsi="Times New Roman" w:cs="Times New Roman"/>
                <w:color w:val="000000"/>
                <w:sz w:val="16"/>
                <w:szCs w:val="16"/>
                <w:lang w:val="vi-VN"/>
              </w:rPr>
              <w:br/>
              <w:t>- Thủ tướng, các Phó Thủ tướng Chính phủ;</w:t>
            </w:r>
            <w:r w:rsidRPr="00A05257">
              <w:rPr>
                <w:rFonts w:ascii="Times New Roman" w:eastAsia="Times New Roman" w:hAnsi="Times New Roman" w:cs="Times New Roman"/>
                <w:color w:val="000000"/>
                <w:sz w:val="16"/>
                <w:szCs w:val="16"/>
                <w:lang w:val="vi-VN"/>
              </w:rPr>
              <w:br/>
              <w:t>- Các bộ, cơ quan ngang bộ, cơ quan thuộc Chính phủ;</w:t>
            </w:r>
            <w:r w:rsidRPr="00A05257">
              <w:rPr>
                <w:rFonts w:ascii="Times New Roman" w:eastAsia="Times New Roman" w:hAnsi="Times New Roman" w:cs="Times New Roman"/>
                <w:color w:val="000000"/>
                <w:sz w:val="16"/>
                <w:szCs w:val="16"/>
                <w:lang w:val="vi-VN"/>
              </w:rPr>
              <w:br/>
              <w:t>- HĐND, UBND các tỉnh, thành phố trực thuộc trung ương;</w:t>
            </w:r>
            <w:r w:rsidRPr="00A05257">
              <w:rPr>
                <w:rFonts w:ascii="Times New Roman" w:eastAsia="Times New Roman" w:hAnsi="Times New Roman" w:cs="Times New Roman"/>
                <w:color w:val="000000"/>
                <w:sz w:val="16"/>
                <w:szCs w:val="16"/>
                <w:lang w:val="vi-VN"/>
              </w:rPr>
              <w:br/>
            </w:r>
            <w:r w:rsidRPr="00A05257">
              <w:rPr>
                <w:rFonts w:ascii="Times New Roman" w:eastAsia="Times New Roman" w:hAnsi="Times New Roman" w:cs="Times New Roman"/>
                <w:color w:val="000000"/>
                <w:sz w:val="16"/>
                <w:szCs w:val="16"/>
                <w:lang w:val="vi-VN"/>
              </w:rPr>
              <w:lastRenderedPageBreak/>
              <w:t>- Văn phòng Trung ương và các Ban của Đảng;</w:t>
            </w:r>
            <w:r w:rsidRPr="00A05257">
              <w:rPr>
                <w:rFonts w:ascii="Times New Roman" w:eastAsia="Times New Roman" w:hAnsi="Times New Roman" w:cs="Times New Roman"/>
                <w:color w:val="000000"/>
                <w:sz w:val="16"/>
                <w:szCs w:val="16"/>
                <w:lang w:val="vi-VN"/>
              </w:rPr>
              <w:br/>
              <w:t>- Văn phòng Tổng Bí thư;</w:t>
            </w:r>
            <w:r w:rsidRPr="00A05257">
              <w:rPr>
                <w:rFonts w:ascii="Times New Roman" w:eastAsia="Times New Roman" w:hAnsi="Times New Roman" w:cs="Times New Roman"/>
                <w:color w:val="000000"/>
                <w:sz w:val="16"/>
                <w:szCs w:val="16"/>
                <w:lang w:val="vi-VN"/>
              </w:rPr>
              <w:br/>
              <w:t>- Văn phòng Chủ tịch nước;</w:t>
            </w:r>
            <w:r w:rsidRPr="00A05257">
              <w:rPr>
                <w:rFonts w:ascii="Times New Roman" w:eastAsia="Times New Roman" w:hAnsi="Times New Roman" w:cs="Times New Roman"/>
                <w:color w:val="000000"/>
                <w:sz w:val="16"/>
                <w:szCs w:val="16"/>
                <w:lang w:val="vi-VN"/>
              </w:rPr>
              <w:br/>
              <w:t>- Hội đồng Dân tộc và các Ủy ban của Quốc hội;</w:t>
            </w:r>
            <w:r w:rsidRPr="00A05257">
              <w:rPr>
                <w:rFonts w:ascii="Times New Roman" w:eastAsia="Times New Roman" w:hAnsi="Times New Roman" w:cs="Times New Roman"/>
                <w:color w:val="000000"/>
                <w:sz w:val="16"/>
                <w:szCs w:val="16"/>
                <w:lang w:val="vi-VN"/>
              </w:rPr>
              <w:br/>
              <w:t>- Văn phòng Quốc hội;</w:t>
            </w:r>
            <w:r w:rsidRPr="00A05257">
              <w:rPr>
                <w:rFonts w:ascii="Times New Roman" w:eastAsia="Times New Roman" w:hAnsi="Times New Roman" w:cs="Times New Roman"/>
                <w:color w:val="000000"/>
                <w:sz w:val="16"/>
                <w:szCs w:val="16"/>
                <w:lang w:val="vi-VN"/>
              </w:rPr>
              <w:br/>
              <w:t>- Tòa án nhân dân tối cao;</w:t>
            </w:r>
            <w:r w:rsidRPr="00A05257">
              <w:rPr>
                <w:rFonts w:ascii="Times New Roman" w:eastAsia="Times New Roman" w:hAnsi="Times New Roman" w:cs="Times New Roman"/>
                <w:color w:val="000000"/>
                <w:sz w:val="16"/>
                <w:szCs w:val="16"/>
                <w:lang w:val="vi-VN"/>
              </w:rPr>
              <w:br/>
              <w:t>- Viện kiểm sát nhân dân tối cao;</w:t>
            </w:r>
            <w:r w:rsidRPr="00A05257">
              <w:rPr>
                <w:rFonts w:ascii="Times New Roman" w:eastAsia="Times New Roman" w:hAnsi="Times New Roman" w:cs="Times New Roman"/>
                <w:color w:val="000000"/>
                <w:sz w:val="16"/>
                <w:szCs w:val="16"/>
                <w:lang w:val="vi-VN"/>
              </w:rPr>
              <w:br/>
              <w:t>- Kiểm toán nhà nước;</w:t>
            </w:r>
            <w:r w:rsidRPr="00A05257">
              <w:rPr>
                <w:rFonts w:ascii="Times New Roman" w:eastAsia="Times New Roman" w:hAnsi="Times New Roman" w:cs="Times New Roman"/>
                <w:color w:val="000000"/>
                <w:sz w:val="16"/>
                <w:szCs w:val="16"/>
                <w:lang w:val="vi-VN"/>
              </w:rPr>
              <w:br/>
              <w:t>- Ủy ban Giám sát tài chính Quốc gia;</w:t>
            </w:r>
            <w:r w:rsidRPr="00A05257">
              <w:rPr>
                <w:rFonts w:ascii="Times New Roman" w:eastAsia="Times New Roman" w:hAnsi="Times New Roman" w:cs="Times New Roman"/>
                <w:color w:val="000000"/>
                <w:sz w:val="16"/>
                <w:szCs w:val="16"/>
                <w:lang w:val="vi-VN"/>
              </w:rPr>
              <w:br/>
              <w:t>- Ngân hàng Chính sách xã hội;</w:t>
            </w:r>
            <w:r w:rsidRPr="00A05257">
              <w:rPr>
                <w:rFonts w:ascii="Times New Roman" w:eastAsia="Times New Roman" w:hAnsi="Times New Roman" w:cs="Times New Roman"/>
                <w:color w:val="000000"/>
                <w:sz w:val="16"/>
                <w:szCs w:val="16"/>
                <w:lang w:val="vi-VN"/>
              </w:rPr>
              <w:br/>
              <w:t>- Ngân hàng Phát triển Việt Nam;</w:t>
            </w:r>
            <w:r w:rsidRPr="00A05257">
              <w:rPr>
                <w:rFonts w:ascii="Times New Roman" w:eastAsia="Times New Roman" w:hAnsi="Times New Roman" w:cs="Times New Roman"/>
                <w:color w:val="000000"/>
                <w:sz w:val="16"/>
                <w:szCs w:val="16"/>
                <w:lang w:val="vi-VN"/>
              </w:rPr>
              <w:br/>
              <w:t>- Ủy ban trung ương Mặt trận Tổ quốc Việt Nam;</w:t>
            </w:r>
            <w:r w:rsidRPr="00A05257">
              <w:rPr>
                <w:rFonts w:ascii="Times New Roman" w:eastAsia="Times New Roman" w:hAnsi="Times New Roman" w:cs="Times New Roman"/>
                <w:color w:val="000000"/>
                <w:sz w:val="16"/>
                <w:szCs w:val="16"/>
                <w:lang w:val="vi-VN"/>
              </w:rPr>
              <w:br/>
              <w:t>- Cơ quan trung ương của các đoàn thể;</w:t>
            </w:r>
            <w:r w:rsidRPr="00A05257">
              <w:rPr>
                <w:rFonts w:ascii="Times New Roman" w:eastAsia="Times New Roman" w:hAnsi="Times New Roman" w:cs="Times New Roman"/>
                <w:color w:val="000000"/>
                <w:sz w:val="16"/>
                <w:szCs w:val="16"/>
                <w:lang w:val="vi-VN"/>
              </w:rPr>
              <w:br/>
              <w:t>- VPCP: BTCN, các PCN, Trợ lý TTg, TGĐ Cổng TTĐT,</w:t>
            </w:r>
            <w:r w:rsidRPr="00A05257">
              <w:rPr>
                <w:rFonts w:ascii="Times New Roman" w:eastAsia="Times New Roman" w:hAnsi="Times New Roman" w:cs="Times New Roman"/>
                <w:color w:val="000000"/>
                <w:sz w:val="16"/>
                <w:szCs w:val="16"/>
                <w:lang w:val="vi-VN"/>
              </w:rPr>
              <w:br/>
              <w:t>các Vụ, Cục, đơn vị trực thuộc, Công báo;</w:t>
            </w:r>
            <w:r w:rsidRPr="00A05257">
              <w:rPr>
                <w:rFonts w:ascii="Times New Roman" w:eastAsia="Times New Roman" w:hAnsi="Times New Roman" w:cs="Times New Roman"/>
                <w:color w:val="000000"/>
                <w:sz w:val="16"/>
                <w:szCs w:val="16"/>
                <w:lang w:val="vi-VN"/>
              </w:rPr>
              <w:br/>
              <w:t>- Lưu: VT, KTTH (2b).</w:t>
            </w:r>
          </w:p>
        </w:tc>
        <w:tc>
          <w:tcPr>
            <w:tcW w:w="3948" w:type="dxa"/>
            <w:shd w:val="clear" w:color="auto" w:fill="FFFFFF"/>
            <w:tcMar>
              <w:top w:w="0" w:type="dxa"/>
              <w:left w:w="108" w:type="dxa"/>
              <w:bottom w:w="0" w:type="dxa"/>
              <w:right w:w="108" w:type="dxa"/>
            </w:tcMar>
            <w:hideMark/>
          </w:tcPr>
          <w:p w14:paraId="5F641B9B" w14:textId="77777777" w:rsidR="00A05257" w:rsidRPr="00A05257" w:rsidRDefault="00A05257" w:rsidP="00A05257">
            <w:pPr>
              <w:spacing w:before="120" w:after="120" w:line="234" w:lineRule="atLeast"/>
              <w:jc w:val="center"/>
              <w:rPr>
                <w:rFonts w:ascii="Times New Roman" w:eastAsia="Times New Roman" w:hAnsi="Times New Roman" w:cs="Times New Roman"/>
                <w:color w:val="000000"/>
                <w:sz w:val="18"/>
                <w:szCs w:val="18"/>
              </w:rPr>
            </w:pPr>
            <w:r w:rsidRPr="00A05257">
              <w:rPr>
                <w:rFonts w:ascii="Times New Roman" w:eastAsia="Times New Roman" w:hAnsi="Times New Roman" w:cs="Times New Roman"/>
                <w:b/>
                <w:bCs/>
                <w:color w:val="000000"/>
                <w:sz w:val="18"/>
                <w:szCs w:val="18"/>
                <w:lang w:val="vi-VN"/>
              </w:rPr>
              <w:lastRenderedPageBreak/>
              <w:t>KT. THỦ TƯỚNG</w:t>
            </w:r>
            <w:r w:rsidRPr="00A05257">
              <w:rPr>
                <w:rFonts w:ascii="Times New Roman" w:eastAsia="Times New Roman" w:hAnsi="Times New Roman" w:cs="Times New Roman"/>
                <w:b/>
                <w:bCs/>
                <w:color w:val="000000"/>
                <w:sz w:val="18"/>
                <w:szCs w:val="18"/>
                <w:lang w:val="vi-VN"/>
              </w:rPr>
              <w:br/>
              <w:t>PHÓ THỦ TƯỚNG</w:t>
            </w:r>
            <w:r w:rsidRPr="00A05257">
              <w:rPr>
                <w:rFonts w:ascii="Times New Roman" w:eastAsia="Times New Roman" w:hAnsi="Times New Roman" w:cs="Times New Roman"/>
                <w:b/>
                <w:bCs/>
                <w:color w:val="000000"/>
                <w:sz w:val="18"/>
                <w:szCs w:val="18"/>
                <w:lang w:val="vi-VN"/>
              </w:rPr>
              <w:br/>
            </w:r>
            <w:r w:rsidRPr="00A05257">
              <w:rPr>
                <w:rFonts w:ascii="Times New Roman" w:eastAsia="Times New Roman" w:hAnsi="Times New Roman" w:cs="Times New Roman"/>
                <w:b/>
                <w:bCs/>
                <w:color w:val="000000"/>
                <w:sz w:val="18"/>
                <w:szCs w:val="18"/>
                <w:lang w:val="vi-VN"/>
              </w:rPr>
              <w:br/>
            </w:r>
            <w:r w:rsidRPr="00A05257">
              <w:rPr>
                <w:rFonts w:ascii="Times New Roman" w:eastAsia="Times New Roman" w:hAnsi="Times New Roman" w:cs="Times New Roman"/>
                <w:b/>
                <w:bCs/>
                <w:color w:val="000000"/>
                <w:sz w:val="18"/>
                <w:szCs w:val="18"/>
                <w:lang w:val="vi-VN"/>
              </w:rPr>
              <w:br/>
            </w:r>
            <w:r w:rsidRPr="00A05257">
              <w:rPr>
                <w:rFonts w:ascii="Times New Roman" w:eastAsia="Times New Roman" w:hAnsi="Times New Roman" w:cs="Times New Roman"/>
                <w:b/>
                <w:bCs/>
                <w:color w:val="000000"/>
                <w:sz w:val="18"/>
                <w:szCs w:val="18"/>
                <w:lang w:val="vi-VN"/>
              </w:rPr>
              <w:br/>
            </w:r>
            <w:r w:rsidRPr="00A05257">
              <w:rPr>
                <w:rFonts w:ascii="Times New Roman" w:eastAsia="Times New Roman" w:hAnsi="Times New Roman" w:cs="Times New Roman"/>
                <w:b/>
                <w:bCs/>
                <w:color w:val="000000"/>
                <w:sz w:val="18"/>
                <w:szCs w:val="18"/>
                <w:lang w:val="vi-VN"/>
              </w:rPr>
              <w:lastRenderedPageBreak/>
              <w:br/>
              <w:t>Lê Minh Khái</w:t>
            </w:r>
          </w:p>
        </w:tc>
      </w:tr>
    </w:tbl>
    <w:p w14:paraId="0ED3AB99" w14:textId="77777777" w:rsidR="00A05257" w:rsidRPr="00A05257" w:rsidRDefault="00A05257" w:rsidP="00A05257">
      <w:pPr>
        <w:jc w:val="both"/>
        <w:rPr>
          <w:rFonts w:ascii="Times New Roman" w:hAnsi="Times New Roman" w:cs="Times New Roman"/>
        </w:rPr>
      </w:pPr>
    </w:p>
    <w:sectPr w:rsidR="00A05257" w:rsidRPr="00A0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57"/>
    <w:rsid w:val="00A0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8473"/>
  <w15:chartTrackingRefBased/>
  <w15:docId w15:val="{04E2F214-D9C0-40E4-8BAA-96B03EC7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2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dc:creator>
  <cp:keywords/>
  <dc:description/>
  <cp:lastModifiedBy>Le Anh</cp:lastModifiedBy>
  <cp:revision>1</cp:revision>
  <dcterms:created xsi:type="dcterms:W3CDTF">2022-05-13T04:31:00Z</dcterms:created>
  <dcterms:modified xsi:type="dcterms:W3CDTF">2022-05-13T04:33:00Z</dcterms:modified>
</cp:coreProperties>
</file>