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05257" w:rsidRPr="00A05257" w14:paraId="24D2683F" w14:textId="77777777" w:rsidTr="00A05257">
        <w:trPr>
          <w:tblCellSpacing w:w="0" w:type="dxa"/>
        </w:trPr>
        <w:tc>
          <w:tcPr>
            <w:tcW w:w="3348" w:type="dxa"/>
            <w:shd w:val="clear" w:color="auto" w:fill="FFFFFF"/>
            <w:tcMar>
              <w:top w:w="0" w:type="dxa"/>
              <w:left w:w="108" w:type="dxa"/>
              <w:bottom w:w="0" w:type="dxa"/>
              <w:right w:w="108" w:type="dxa"/>
            </w:tcMar>
            <w:hideMark/>
          </w:tcPr>
          <w:p w14:paraId="205EAA8D" w14:textId="77777777" w:rsidR="00A05257" w:rsidRPr="00A05257" w:rsidRDefault="00A05257" w:rsidP="00A05257">
            <w:pPr>
              <w:spacing w:before="120" w:after="120" w:line="234" w:lineRule="atLeast"/>
              <w:jc w:val="center"/>
              <w:rPr>
                <w:rFonts w:ascii="Times New Roman" w:eastAsia="Times New Roman" w:hAnsi="Times New Roman" w:cs="Times New Roman"/>
                <w:color w:val="000000"/>
                <w:sz w:val="24"/>
                <w:szCs w:val="24"/>
              </w:rPr>
            </w:pPr>
            <w:r w:rsidRPr="00A05257">
              <w:rPr>
                <w:rFonts w:ascii="Times New Roman" w:eastAsia="Times New Roman" w:hAnsi="Times New Roman" w:cs="Times New Roman"/>
                <w:b/>
                <w:bCs/>
                <w:color w:val="000000"/>
                <w:sz w:val="24"/>
                <w:szCs w:val="24"/>
                <w:lang w:val="vi-VN"/>
              </w:rPr>
              <w:t>THỦ TƯỚNG CHÍNH PHỦ</w:t>
            </w:r>
            <w:r w:rsidRPr="00A05257">
              <w:rPr>
                <w:rFonts w:ascii="Times New Roman" w:eastAsia="Times New Roman" w:hAnsi="Times New Roman" w:cs="Times New Roman"/>
                <w:b/>
                <w:bCs/>
                <w:color w:val="000000"/>
                <w:sz w:val="24"/>
                <w:szCs w:val="24"/>
                <w:lang w:val="vi-VN"/>
              </w:rPr>
              <w:br/>
              <w:t>-------</w:t>
            </w:r>
          </w:p>
        </w:tc>
        <w:tc>
          <w:tcPr>
            <w:tcW w:w="5508" w:type="dxa"/>
            <w:shd w:val="clear" w:color="auto" w:fill="FFFFFF"/>
            <w:tcMar>
              <w:top w:w="0" w:type="dxa"/>
              <w:left w:w="108" w:type="dxa"/>
              <w:bottom w:w="0" w:type="dxa"/>
              <w:right w:w="108" w:type="dxa"/>
            </w:tcMar>
            <w:hideMark/>
          </w:tcPr>
          <w:p w14:paraId="6AC1B890" w14:textId="77777777" w:rsidR="00A05257" w:rsidRPr="00A05257" w:rsidRDefault="00A05257" w:rsidP="00A05257">
            <w:pPr>
              <w:spacing w:before="120" w:after="120" w:line="234" w:lineRule="atLeast"/>
              <w:jc w:val="center"/>
              <w:rPr>
                <w:rFonts w:ascii="Times New Roman" w:eastAsia="Times New Roman" w:hAnsi="Times New Roman" w:cs="Times New Roman"/>
                <w:color w:val="000000"/>
                <w:sz w:val="24"/>
                <w:szCs w:val="24"/>
              </w:rPr>
            </w:pPr>
            <w:r w:rsidRPr="00A05257">
              <w:rPr>
                <w:rFonts w:ascii="Times New Roman" w:eastAsia="Times New Roman" w:hAnsi="Times New Roman" w:cs="Times New Roman"/>
                <w:b/>
                <w:bCs/>
                <w:color w:val="000000"/>
                <w:sz w:val="24"/>
                <w:szCs w:val="24"/>
                <w:lang w:val="vi-VN"/>
              </w:rPr>
              <w:t>CỘNG HÒA XÃ HỘI CHỦ NGHĨA VIỆT NAM</w:t>
            </w:r>
            <w:r w:rsidRPr="00A05257">
              <w:rPr>
                <w:rFonts w:ascii="Times New Roman" w:eastAsia="Times New Roman" w:hAnsi="Times New Roman" w:cs="Times New Roman"/>
                <w:b/>
                <w:bCs/>
                <w:color w:val="000000"/>
                <w:sz w:val="24"/>
                <w:szCs w:val="24"/>
                <w:lang w:val="vi-VN"/>
              </w:rPr>
              <w:br/>
              <w:t>Độc lập - Tự do - Hạnh phúc</w:t>
            </w:r>
            <w:r w:rsidRPr="00A05257">
              <w:rPr>
                <w:rFonts w:ascii="Times New Roman" w:eastAsia="Times New Roman" w:hAnsi="Times New Roman" w:cs="Times New Roman"/>
                <w:b/>
                <w:bCs/>
                <w:color w:val="000000"/>
                <w:sz w:val="24"/>
                <w:szCs w:val="24"/>
                <w:lang w:val="vi-VN"/>
              </w:rPr>
              <w:br/>
              <w:t>---------------</w:t>
            </w:r>
          </w:p>
        </w:tc>
      </w:tr>
      <w:tr w:rsidR="00A05257" w:rsidRPr="00A05257" w14:paraId="57DE9E9F" w14:textId="77777777" w:rsidTr="00A05257">
        <w:trPr>
          <w:tblCellSpacing w:w="0" w:type="dxa"/>
        </w:trPr>
        <w:tc>
          <w:tcPr>
            <w:tcW w:w="3348" w:type="dxa"/>
            <w:shd w:val="clear" w:color="auto" w:fill="FFFFFF"/>
            <w:tcMar>
              <w:top w:w="0" w:type="dxa"/>
              <w:left w:w="108" w:type="dxa"/>
              <w:bottom w:w="0" w:type="dxa"/>
              <w:right w:w="108" w:type="dxa"/>
            </w:tcMar>
            <w:hideMark/>
          </w:tcPr>
          <w:p w14:paraId="36F5FCFF" w14:textId="3976A2C3" w:rsidR="00A05257" w:rsidRPr="00A05257" w:rsidRDefault="00A05257" w:rsidP="00A05257">
            <w:pPr>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color w:val="000000"/>
                <w:sz w:val="24"/>
                <w:szCs w:val="24"/>
              </w:rPr>
              <w:t xml:space="preserve">           </w:t>
            </w:r>
            <w:r w:rsidRPr="00A05257">
              <w:rPr>
                <w:rFonts w:ascii="Times New Roman" w:eastAsia="Times New Roman" w:hAnsi="Times New Roman" w:cs="Times New Roman"/>
                <w:color w:val="000000"/>
                <w:sz w:val="24"/>
                <w:szCs w:val="24"/>
                <w:lang w:val="vi-VN"/>
              </w:rPr>
              <w:t>Số: 13/2022/QĐ-TTg</w:t>
            </w:r>
          </w:p>
        </w:tc>
        <w:tc>
          <w:tcPr>
            <w:tcW w:w="5508" w:type="dxa"/>
            <w:shd w:val="clear" w:color="auto" w:fill="FFFFFF"/>
            <w:tcMar>
              <w:top w:w="0" w:type="dxa"/>
              <w:left w:w="108" w:type="dxa"/>
              <w:bottom w:w="0" w:type="dxa"/>
              <w:right w:w="108" w:type="dxa"/>
            </w:tcMar>
            <w:hideMark/>
          </w:tcPr>
          <w:p w14:paraId="15F7A0C0" w14:textId="15E940D7" w:rsidR="00A05257" w:rsidRPr="00A05257" w:rsidRDefault="00A05257" w:rsidP="00A05257">
            <w:pPr>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i/>
                <w:iCs/>
                <w:color w:val="000000"/>
                <w:sz w:val="24"/>
                <w:szCs w:val="24"/>
              </w:rPr>
              <w:t xml:space="preserve">                                </w:t>
            </w:r>
            <w:r w:rsidRPr="00A05257">
              <w:rPr>
                <w:rFonts w:ascii="Times New Roman" w:eastAsia="Times New Roman" w:hAnsi="Times New Roman" w:cs="Times New Roman"/>
                <w:i/>
                <w:iCs/>
                <w:color w:val="000000"/>
                <w:sz w:val="24"/>
                <w:szCs w:val="24"/>
                <w:lang w:val="vi-VN"/>
              </w:rPr>
              <w:t>Hà Nội, ngày 09 tháng 5 năm 2022</w:t>
            </w:r>
          </w:p>
        </w:tc>
      </w:tr>
    </w:tbl>
    <w:p w14:paraId="12780E6F"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color w:val="000000"/>
          <w:sz w:val="24"/>
          <w:szCs w:val="24"/>
          <w:lang w:val="vi-VN"/>
        </w:rPr>
        <w:t> </w:t>
      </w:r>
    </w:p>
    <w:p w14:paraId="22CE758B" w14:textId="77777777" w:rsidR="00A05257" w:rsidRPr="00A05257" w:rsidRDefault="00A05257" w:rsidP="00A05257">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A05257">
        <w:rPr>
          <w:rFonts w:ascii="Times New Roman" w:eastAsia="Times New Roman" w:hAnsi="Times New Roman" w:cs="Times New Roman"/>
          <w:b/>
          <w:bCs/>
          <w:color w:val="000000"/>
          <w:sz w:val="30"/>
          <w:szCs w:val="30"/>
          <w:lang w:val="vi-VN"/>
        </w:rPr>
        <w:t>QUYẾT ĐỊNH</w:t>
      </w:r>
    </w:p>
    <w:p w14:paraId="65801855" w14:textId="77777777" w:rsidR="00A05257" w:rsidRPr="00A05257" w:rsidRDefault="00A05257" w:rsidP="00A05257">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A05257">
        <w:rPr>
          <w:rFonts w:ascii="Times New Roman" w:eastAsia="Times New Roman" w:hAnsi="Times New Roman" w:cs="Times New Roman"/>
          <w:color w:val="000000"/>
          <w:sz w:val="24"/>
          <w:szCs w:val="24"/>
          <w:lang w:val="vi-VN"/>
        </w:rPr>
        <w:t>VỀ THỰC HIỆN CHÍNH SÁCH HỖ TRỢ BẢO HIỂM NÔNG NGHIỆP</w:t>
      </w:r>
    </w:p>
    <w:p w14:paraId="7E324F9D"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i/>
          <w:iCs/>
          <w:color w:val="000000"/>
          <w:sz w:val="24"/>
          <w:szCs w:val="24"/>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6B2538F6"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i/>
          <w:iCs/>
          <w:color w:val="000000"/>
          <w:sz w:val="24"/>
          <w:szCs w:val="24"/>
          <w:lang w:val="vi-VN"/>
        </w:rPr>
        <w:t>Căn cứ Luật Kinh doanh bảo hiểm ngày 09 tháng 12 năm 2000; Luật sửa đổi, bổ sung một số điều của Luật Kinh doanh bảo hiểm ngày 24 tháng 11 năm 2010;</w:t>
      </w:r>
    </w:p>
    <w:p w14:paraId="0E072A2F"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i/>
          <w:iCs/>
          <w:color w:val="000000"/>
          <w:sz w:val="24"/>
          <w:szCs w:val="24"/>
          <w:lang w:val="vi-VN"/>
        </w:rPr>
        <w:t>Căn cứ Nghị quyết số 32/2016/QH14 ngày 23 tháng 11 năm 2016 của Quốc hội về tiếp tục nâng cao năng lực, hiệu quả việc thực hiện chương trình mục tiêu quốc gia xây dựng nông thôn mới gắn với tái cơ cấu ngành nông nghiệp;</w:t>
      </w:r>
    </w:p>
    <w:p w14:paraId="43EA0772"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i/>
          <w:iCs/>
          <w:color w:val="000000"/>
          <w:sz w:val="24"/>
          <w:szCs w:val="24"/>
          <w:lang w:val="vi-VN"/>
        </w:rPr>
        <w:t>Căn cứ Nghị định số 58/2018/NĐ-CP ngày 18 tháng 4 năm 2018 của Chính phủ về bảo hiểm nông nghiệp;</w:t>
      </w:r>
    </w:p>
    <w:p w14:paraId="042C6700"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i/>
          <w:iCs/>
          <w:color w:val="000000"/>
          <w:sz w:val="24"/>
          <w:szCs w:val="24"/>
          <w:lang w:val="vi-VN"/>
        </w:rPr>
        <w:t>Theo đề nghị của Bộ trưởng Bộ Tài chính và Bộ trưởng Bộ Nông nghiệp và Phát triển nông thôn;</w:t>
      </w:r>
    </w:p>
    <w:p w14:paraId="36782286"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i/>
          <w:iCs/>
          <w:color w:val="000000"/>
          <w:sz w:val="24"/>
          <w:szCs w:val="24"/>
          <w:lang w:val="vi-VN"/>
        </w:rPr>
        <w:t>Thủ tướng Chính phủ ban hành Quyết định về việc thực hiện chính sách hỗ trợ bảo hiểm nông nghiệp.</w:t>
      </w:r>
    </w:p>
    <w:p w14:paraId="39D13902" w14:textId="77777777" w:rsidR="00A05257" w:rsidRPr="00A05257" w:rsidRDefault="00A05257" w:rsidP="00A05257">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A05257">
        <w:rPr>
          <w:rFonts w:ascii="Times New Roman" w:eastAsia="Times New Roman" w:hAnsi="Times New Roman" w:cs="Times New Roman"/>
          <w:b/>
          <w:bCs/>
          <w:color w:val="000000"/>
          <w:sz w:val="24"/>
          <w:szCs w:val="24"/>
          <w:lang w:val="vi-VN"/>
        </w:rPr>
        <w:t>Chương </w:t>
      </w:r>
      <w:r w:rsidRPr="00A05257">
        <w:rPr>
          <w:rFonts w:ascii="Times New Roman" w:eastAsia="Times New Roman" w:hAnsi="Times New Roman" w:cs="Times New Roman"/>
          <w:b/>
          <w:bCs/>
          <w:color w:val="000000"/>
          <w:sz w:val="24"/>
          <w:szCs w:val="24"/>
        </w:rPr>
        <w:t>I</w:t>
      </w:r>
    </w:p>
    <w:p w14:paraId="2A84E2C3" w14:textId="77777777" w:rsidR="00A05257" w:rsidRPr="00A05257" w:rsidRDefault="00A05257" w:rsidP="00A05257">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A05257">
        <w:rPr>
          <w:rFonts w:ascii="Times New Roman" w:eastAsia="Times New Roman" w:hAnsi="Times New Roman" w:cs="Times New Roman"/>
          <w:b/>
          <w:bCs/>
          <w:color w:val="000000"/>
          <w:sz w:val="30"/>
          <w:szCs w:val="30"/>
          <w:lang w:val="vi-VN"/>
        </w:rPr>
        <w:t>QUY ĐỊNH CHUNG</w:t>
      </w:r>
    </w:p>
    <w:p w14:paraId="46FC0EEF"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b/>
          <w:bCs/>
          <w:color w:val="000000"/>
          <w:sz w:val="24"/>
          <w:szCs w:val="24"/>
          <w:lang w:val="vi-VN"/>
        </w:rPr>
        <w:t>Điều 1. Phạm vi điều chỉnh</w:t>
      </w:r>
    </w:p>
    <w:p w14:paraId="4ED5B439"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color w:val="000000"/>
          <w:sz w:val="24"/>
          <w:szCs w:val="24"/>
          <w:lang w:val="vi-VN"/>
        </w:rPr>
        <w:t>Quyết định này quy định về việc thực hiện chính sách hỗ trợ bảo hiểm nông nghiệp theo quy định tại Nghị định số 58/2018/NĐ-CP ngày 18 tháng 4 năm 2018 của Chính phủ về bảo hiểm nông nghiệp bao gồm: Đối tượng tổ chức, cá nhân sản xuất nông nghiệp được hỗ trợ; loại cây trồng, vật nuôi, nuôi trồng thủy sản được hỗ trợ; loại rủi ro được bảo hiểm được hỗ trợ; mức hỗ trợ; thời gian thực hiện hỗ trợ; địa bàn được hỗ trợ; mức hỗ trợ từ ngân sách trung ương cho ngân sách địa phương để thực hiện hỗ trợ phí bảo hiểm nông nghiệp.</w:t>
      </w:r>
    </w:p>
    <w:p w14:paraId="776FE0E5"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b/>
          <w:bCs/>
          <w:color w:val="000000"/>
          <w:sz w:val="24"/>
          <w:szCs w:val="24"/>
          <w:lang w:val="vi-VN"/>
        </w:rPr>
        <w:t>Điều 2. Đối tượng áp dụng</w:t>
      </w:r>
    </w:p>
    <w:p w14:paraId="1A13AA81"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color w:val="000000"/>
          <w:sz w:val="24"/>
          <w:szCs w:val="24"/>
          <w:lang w:val="vi-VN"/>
        </w:rPr>
        <w:t>Quyết định này áp dụng đối với:</w:t>
      </w:r>
    </w:p>
    <w:p w14:paraId="7F80CD55"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color w:val="000000"/>
          <w:sz w:val="24"/>
          <w:szCs w:val="24"/>
          <w:lang w:val="vi-VN"/>
        </w:rPr>
        <w:t>1. Tổ chức, cá nhân trồng lúa, cao su, hồ tiêu, điều, cà phê; chăn nuôi trâu, bò, lợn và nuôi tôm sú, tôm thẻ chân trắng, cá tra thuộc đối tượng quy định tại khoản 2 Điều 22 Nghị định số 58/2018/NĐ-CP ngày 18 tháng 4 năm 2018 của Chính phủ về bảo hiểm nông nghiệp.</w:t>
      </w:r>
    </w:p>
    <w:p w14:paraId="0B52381C"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color w:val="000000"/>
          <w:sz w:val="24"/>
          <w:szCs w:val="24"/>
          <w:lang w:val="vi-VN"/>
        </w:rPr>
        <w:t>2. Doanh nghiệp bảo hiểm phi nhân thọ, chi nhánh doanh nghiệp bảo hiểm phi nhân thọ nước ngoài, doanh nghiệp tái bảo hiểm được thành lập, tổ chức và hoạt động theo quy định của Luật Kinh doanh bảo hiểm và quy định pháp luật có liên quan.</w:t>
      </w:r>
    </w:p>
    <w:p w14:paraId="6C3F31F5"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color w:val="000000"/>
          <w:sz w:val="24"/>
          <w:szCs w:val="24"/>
          <w:lang w:val="vi-VN"/>
        </w:rPr>
        <w:lastRenderedPageBreak/>
        <w:t>3. Cơ quan, tổ chức, cá nhân khác có liên quan đến việc thực hiện chính sách hỗ trợ bảo hiểm nông nghiệp.</w:t>
      </w:r>
    </w:p>
    <w:p w14:paraId="4F6C6F27" w14:textId="77777777" w:rsidR="00A05257" w:rsidRPr="00A05257" w:rsidRDefault="00A05257" w:rsidP="00A05257">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A05257">
        <w:rPr>
          <w:rFonts w:ascii="Times New Roman" w:eastAsia="Times New Roman" w:hAnsi="Times New Roman" w:cs="Times New Roman"/>
          <w:b/>
          <w:bCs/>
          <w:color w:val="000000"/>
          <w:sz w:val="24"/>
          <w:szCs w:val="24"/>
          <w:lang w:val="vi-VN"/>
        </w:rPr>
        <w:t>Chương II</w:t>
      </w:r>
    </w:p>
    <w:p w14:paraId="0DF0FB6B" w14:textId="77777777" w:rsidR="00A05257" w:rsidRPr="00A05257" w:rsidRDefault="00A05257" w:rsidP="00A05257">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A05257">
        <w:rPr>
          <w:rFonts w:ascii="Times New Roman" w:eastAsia="Times New Roman" w:hAnsi="Times New Roman" w:cs="Times New Roman"/>
          <w:b/>
          <w:bCs/>
          <w:color w:val="000000"/>
          <w:sz w:val="30"/>
          <w:szCs w:val="30"/>
          <w:lang w:val="vi-VN"/>
        </w:rPr>
        <w:t>CHÍNH SÁCH HỖ TRỢ BẢO HIỂM NÔNG NGHIỆP</w:t>
      </w:r>
    </w:p>
    <w:p w14:paraId="70E9FFF3"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b/>
          <w:bCs/>
          <w:color w:val="000000"/>
          <w:sz w:val="24"/>
          <w:szCs w:val="24"/>
          <w:lang w:val="vi-VN"/>
        </w:rPr>
        <w:t>Điều 3. Đối tượng bảo hiểm được hỗ trợ phí bảo hiểm nông nghiệp</w:t>
      </w:r>
    </w:p>
    <w:p w14:paraId="5C0D0370"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color w:val="000000"/>
          <w:sz w:val="24"/>
          <w:szCs w:val="24"/>
          <w:lang w:val="vi-VN"/>
        </w:rPr>
        <w:t>1. Cây trồng: Lúa, cao su, hồ tiêu, điều, cà phê.</w:t>
      </w:r>
    </w:p>
    <w:p w14:paraId="7A49CAC2"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color w:val="000000"/>
          <w:sz w:val="24"/>
          <w:szCs w:val="24"/>
          <w:lang w:val="vi-VN"/>
        </w:rPr>
        <w:t>2. Vật nuôi: Trâu, bò, lợn.</w:t>
      </w:r>
    </w:p>
    <w:p w14:paraId="7BF463F7"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color w:val="000000"/>
          <w:sz w:val="24"/>
          <w:szCs w:val="24"/>
          <w:lang w:val="vi-VN"/>
        </w:rPr>
        <w:t>3. Nuôi trồng thủy sản: Tôm sú, tôm thẻ chân trắng, cá tra.</w:t>
      </w:r>
    </w:p>
    <w:p w14:paraId="69AC05B8"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b/>
          <w:bCs/>
          <w:color w:val="000000"/>
          <w:sz w:val="24"/>
          <w:szCs w:val="24"/>
          <w:lang w:val="vi-VN"/>
        </w:rPr>
        <w:t>Điều 4. Mức hỗ trợ phí bảo hiểm nông nghiệp</w:t>
      </w:r>
    </w:p>
    <w:p w14:paraId="076461F4"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color w:val="000000"/>
          <w:sz w:val="24"/>
          <w:szCs w:val="24"/>
          <w:lang w:val="vi-VN"/>
        </w:rPr>
        <w:t>1. Cá nhân sản xuất nông nghiệp thuộc diện hộ nghèo, hộ cận nghèo theo quy định tại Nghị định số 07/2021/NĐ-CP ngày 27 tháng 01 năm 2021 của Chính phủ quy định chuẩn nghèo đa chiều giai đoạn 2021 - 2025 và các văn bản sửa đổi, bổ sung, thay thế (nếu có): Hỗ trợ mức tối đa theo quy định tại khoản 1 Điều 19 Nghị định số 58/2018/NĐ-CP và các văn bản sửa đổi, bổ sung, thay thế (nếu có).</w:t>
      </w:r>
    </w:p>
    <w:p w14:paraId="310E75A7"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color w:val="000000"/>
          <w:sz w:val="24"/>
          <w:szCs w:val="24"/>
          <w:lang w:val="vi-VN"/>
        </w:rPr>
        <w:t>2. Cá nhân sản xuất nông nghiệp không thuộc diện hộ nghèo, cận nghèo quy định tại khoản 1 Điều này: Hỗ trợ mức tối đa theo quy định tại khoản 2 Điều 19 Nghị định số 58/2018/NĐ-CP và các văn bản sửa đổi, bổ sung, thay thế (nếu có).</w:t>
      </w:r>
    </w:p>
    <w:p w14:paraId="12C4615C"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color w:val="000000"/>
          <w:sz w:val="24"/>
          <w:szCs w:val="24"/>
          <w:lang w:val="vi-VN"/>
        </w:rPr>
        <w:t>3. Tổ chức sản xuất nông nghiệp: Hỗ trợ mức tối đa theo quy định tại khoản 3 Điều 19 Nghị định số 58/2018/NĐ-CP và các văn bản sửa đổi, bổ sung, thay thế (nếu có) khi đáp ứng đầy đủ quy định sau:</w:t>
      </w:r>
    </w:p>
    <w:p w14:paraId="12D7CA29"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color w:val="000000"/>
          <w:sz w:val="24"/>
          <w:szCs w:val="24"/>
          <w:lang w:val="vi-VN"/>
        </w:rPr>
        <w:t>a) Doanh nghiệp được thành lập theo Luật Doanh nghiệp hoặc hợp tác xã được thành lập theo Luật Hợp tác xã.</w:t>
      </w:r>
    </w:p>
    <w:p w14:paraId="7B734229"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color w:val="000000"/>
          <w:sz w:val="24"/>
          <w:szCs w:val="24"/>
          <w:lang w:val="vi-VN"/>
        </w:rPr>
        <w:t>b) Có hợp đồng liên kết gắn với sản phẩm nông nghiệp là các đối tượng được hưởng chính sách hỗ trợ bảo hiểm nông nghiệp, đảm bảo quy định tại Điều 4 và Điều 5 Nghị định số 98/2018/NĐ-CP ngày 05 tháng 7 năm 2018 của Chính phủ về chính sách khuyến khích phát triển hợp tác xã, liên kết trong sản xuất và tiêu thụ sản phẩm nông nghiệp và văn bản sửa đổi, bổ sung, thay thế (nếu có).</w:t>
      </w:r>
    </w:p>
    <w:p w14:paraId="0FBE12BD"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color w:val="000000"/>
          <w:sz w:val="24"/>
          <w:szCs w:val="24"/>
          <w:lang w:val="vi-VN"/>
        </w:rPr>
        <w:t>c) Có sản phẩm nông nghiệp là các đối tượng được hưởng chính sách hỗ trợ bảo hiểm nông nghiệp được chứng nhận đảm bảo chất lượng, an toàn thực phẩm của cơ quan có thẩm quyền hoặc được công nhận là doanh nghiệp nông nghiệp ứng dụng công nghệ cao theo quy định pháp luật về tiêu chí, thẩm quyền, trình tự, thủ tục công nhận doanh nghiệp nông nghiệp ứng dụng công nghệ cao.</w:t>
      </w:r>
    </w:p>
    <w:p w14:paraId="09E1893F"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b/>
          <w:bCs/>
          <w:color w:val="000000"/>
          <w:sz w:val="24"/>
          <w:szCs w:val="24"/>
          <w:lang w:val="vi-VN"/>
        </w:rPr>
        <w:t>Điều 5. Rủi ro được bảo hiểm được hỗ trợ phí bảo hiểm nông nghiệp</w:t>
      </w:r>
    </w:p>
    <w:p w14:paraId="2C5AEC49"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color w:val="000000"/>
          <w:sz w:val="24"/>
          <w:szCs w:val="24"/>
          <w:lang w:val="vi-VN"/>
        </w:rPr>
        <w:t>1. Rủi ro được bảo hiểm được hỗ trợ đối với cây lúa, cao su, hồ tiêu, điều, cà phê</w:t>
      </w:r>
    </w:p>
    <w:p w14:paraId="3727816A"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color w:val="000000"/>
          <w:sz w:val="24"/>
          <w:szCs w:val="24"/>
          <w:lang w:val="vi-VN"/>
        </w:rPr>
        <w:t>a) Thiên tai đối với cây lúa bao gồm: Bão, áp thấp nhiệt đới, lốc, sét, mưa lớn, lũ, lũ quét, ngập lụt, sạt lở đất do mưa lũ hoặc dòng chảy, sụt lún đất do mưa lũ hoặc dòng chảy, nước dâng, xâm nhập mặn, nắng nóng, hạn hán, rét hại, mưa đá, sương muối, động đất, sóng thần. Thiên tai phải được công bố hoặc xác nhận của cơ quan nhà nước có thẩm quyền.</w:t>
      </w:r>
    </w:p>
    <w:p w14:paraId="019C91A2"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color w:val="000000"/>
          <w:sz w:val="24"/>
          <w:szCs w:val="24"/>
          <w:lang w:val="vi-VN"/>
        </w:rPr>
        <w:lastRenderedPageBreak/>
        <w:t>Thiên tai đối với cây cao su, hồ tiêu, điều, cà phê bao gồm: Bão, áp thấp nhiệt đới, lốc, sét, lũ, lũ quét, ngập lụt, mưa đá, sương muối. Thiên tai phải được công bố hoặc xác nhận của cơ quan nhà nước có thẩm quyền.</w:t>
      </w:r>
    </w:p>
    <w:p w14:paraId="6E8BAA52"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color w:val="000000"/>
          <w:sz w:val="24"/>
          <w:szCs w:val="24"/>
          <w:lang w:val="vi-VN"/>
        </w:rPr>
        <w:t>b) Dịch bệnh đối với cây lúa bao gồm: Bệnh vàng lùn, lùn xoắn lá, lùn sọc đen, đạo ôn, bạc lá, đốm sọc; dịch rầy nâu, rầy lưng trắng; sâu đục thân, sâu cuốn lá nhỏ, sâu năn; chuột. Dịch bệnh phải được công bố hoặc xác nhận của cơ quan nhà nước có thẩm quyền.</w:t>
      </w:r>
    </w:p>
    <w:p w14:paraId="7F120E03"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color w:val="000000"/>
          <w:sz w:val="24"/>
          <w:szCs w:val="24"/>
          <w:lang w:val="vi-VN"/>
        </w:rPr>
        <w:t>Không hỗ trợ cho các rủi ro dịch bệnh đối với cây cao su, hồ tiêu, điều, cà phê.</w:t>
      </w:r>
    </w:p>
    <w:p w14:paraId="72B088FD"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color w:val="000000"/>
          <w:sz w:val="24"/>
          <w:szCs w:val="24"/>
          <w:lang w:val="vi-VN"/>
        </w:rPr>
        <w:t>2. Rủi ro được bảo hiểm được hỗ trợ đối với trâu, bò, lợn</w:t>
      </w:r>
    </w:p>
    <w:p w14:paraId="79845482"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color w:val="000000"/>
          <w:sz w:val="24"/>
          <w:szCs w:val="24"/>
          <w:lang w:val="vi-VN"/>
        </w:rPr>
        <w:t>a) Thiên tai bao gồm: Bão, áp thấp nhiệt đới, lốc, sét, mưa lớn, lũ, lũ quét, ngập lụt, sạt lở đất do mưa lũ hoặc dòng chảy, sụt lún đất do mưa lũ hoặc dòng chảy, nắng nóng, hạn hán, rét hại, mưa đá, sương muối, động đất, sóng thần. Thiên tai phải được công bố hoặc xác nhận của cơ quan nhà nước có thẩm quyền.</w:t>
      </w:r>
    </w:p>
    <w:p w14:paraId="64AAF024"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color w:val="000000"/>
          <w:sz w:val="24"/>
          <w:szCs w:val="24"/>
          <w:lang w:val="vi-VN"/>
        </w:rPr>
        <w:t>b) Dịch bệnh bao gồm: Bệnh lở mồm long móng, tai xanh ở lợn (hội chứng rối loạn sinh sản và hô hấp ở lợn), nhiệt thán, xoắn khuẩn. Dịch bệnh phải được công bố hoặc xác nhận của cơ quan nhà nước có thẩm quyền.</w:t>
      </w:r>
    </w:p>
    <w:p w14:paraId="0CCB8B18"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color w:val="000000"/>
          <w:sz w:val="24"/>
          <w:szCs w:val="24"/>
          <w:lang w:val="vi-VN"/>
        </w:rPr>
        <w:t>3. Rủi ro được bảo hiểm được hỗ trợ đối với tôm sú, tôm thẻ chân trắng, cá tra</w:t>
      </w:r>
    </w:p>
    <w:p w14:paraId="77A3CE6A"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color w:val="000000"/>
          <w:sz w:val="24"/>
          <w:szCs w:val="24"/>
          <w:lang w:val="vi-VN"/>
        </w:rPr>
        <w:t>a) Thiên tai bao gồm: Bão, áp thấp nhiệt đới, lốc, sét, mưa lớn, lũ, ngập lụt, sạt lở đất do mưa lũ hoặc dòng chảy, sụt lún đất do mưa lũ hoặc dòng chảy, nước dâng, xâm nhập mặn, nắng nóng, hạn hán, mưa đá, động đất, sóng thần. Thiên tai phải được công bố hoặc xác nhận của cơ quan nhà nước có thẩm quyền.</w:t>
      </w:r>
    </w:p>
    <w:p w14:paraId="6232A946"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color w:val="000000"/>
          <w:sz w:val="24"/>
          <w:szCs w:val="24"/>
          <w:lang w:val="vi-VN"/>
        </w:rPr>
        <w:t>b) Dịch bệnh: Không hỗ trợ cho các rủi ro dịch bệnh đối với tôm sú, tôm thẻ chân trắng, cá tra.</w:t>
      </w:r>
    </w:p>
    <w:p w14:paraId="4C94CA81"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b/>
          <w:bCs/>
          <w:color w:val="000000"/>
          <w:sz w:val="24"/>
          <w:szCs w:val="24"/>
          <w:lang w:val="vi-VN"/>
        </w:rPr>
        <w:t>Điều 6. Địa bàn được hỗ trợ phí bảo hiểm nông nghiệp</w:t>
      </w:r>
    </w:p>
    <w:p w14:paraId="03299C2C"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color w:val="000000"/>
          <w:sz w:val="24"/>
          <w:szCs w:val="24"/>
          <w:lang w:val="vi-VN"/>
        </w:rPr>
        <w:t>1. Đối với cây trồng:</w:t>
      </w:r>
    </w:p>
    <w:p w14:paraId="6E58E746"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color w:val="000000"/>
          <w:sz w:val="24"/>
          <w:szCs w:val="24"/>
          <w:lang w:val="vi-VN"/>
        </w:rPr>
        <w:t>a) Đối với cây lúa, tại các tỉnh: Thái Bình, Nam Định, Nghệ An, Hà Tĩnh, Bình Thuận, An Giang, Đồng Tháp.</w:t>
      </w:r>
    </w:p>
    <w:p w14:paraId="63AD5779"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color w:val="000000"/>
          <w:sz w:val="24"/>
          <w:szCs w:val="24"/>
          <w:lang w:val="vi-VN"/>
        </w:rPr>
        <w:t>b) Đối với cây cao su, tại các tỉnh: Kon Tum, Gia Lai, Đắk Lắk, Bình Thuận, Bình Phước, Tây Ninh, Bình Dương, Đồng Nai.</w:t>
      </w:r>
    </w:p>
    <w:p w14:paraId="0C01B538"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color w:val="000000"/>
          <w:sz w:val="24"/>
          <w:szCs w:val="24"/>
          <w:lang w:val="vi-VN"/>
        </w:rPr>
        <w:t>c) Đối với cây cà phê, tại các tỉnh: Sơn La, Kon Tum, Gia Lai, Đắk Lắk, Đắk Nông, Lâm Đồng, Bình Phước.</w:t>
      </w:r>
    </w:p>
    <w:p w14:paraId="3891ED47"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color w:val="000000"/>
          <w:sz w:val="24"/>
          <w:szCs w:val="24"/>
          <w:lang w:val="vi-VN"/>
        </w:rPr>
        <w:t>d) Đối với cây hồ tiêu, tại các tỉnh: Gia Lai, Đắk Lắk, Đắk Nông, Bình Phước, Đồng Nai, Bà Rịa - Vũng Tàu.</w:t>
      </w:r>
    </w:p>
    <w:p w14:paraId="51487EA7"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color w:val="000000"/>
          <w:sz w:val="24"/>
          <w:szCs w:val="24"/>
          <w:lang w:val="vi-VN"/>
        </w:rPr>
        <w:t>đ) Đối với cây điều, tại các tỉnh: Gia Lai, Đắk Lắk, Lâm Đồng, Bình Thuận, Bình Phước, Đồng Nai.</w:t>
      </w:r>
    </w:p>
    <w:p w14:paraId="652FBFE8"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color w:val="000000"/>
          <w:sz w:val="24"/>
          <w:szCs w:val="24"/>
          <w:lang w:val="vi-VN"/>
        </w:rPr>
        <w:t>2. Đối với vật nuôi:</w:t>
      </w:r>
    </w:p>
    <w:p w14:paraId="73E20F0E"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color w:val="000000"/>
          <w:sz w:val="24"/>
          <w:szCs w:val="24"/>
          <w:lang w:val="vi-VN"/>
        </w:rPr>
        <w:t>a) Đối với trâu, bò, tại các tỉnh, thành phố trực thuộc trung ương: Hà Giang, Vĩnh Phúc, Hà Nội, Thanh Hóa, Nghệ An, Bình Định, Gia Lai, Đắk Lắk, Lâm Đồng, Đồng Nai, Bình Dương.</w:t>
      </w:r>
    </w:p>
    <w:p w14:paraId="42687BE1"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color w:val="000000"/>
          <w:sz w:val="24"/>
          <w:szCs w:val="24"/>
          <w:lang w:val="vi-VN"/>
        </w:rPr>
        <w:t>b) Đối với lợn, tại các tỉnh, thành phố trực thuộc trung ương: Bắc Giang, Hà Nội, Thái Bình, Nam Định, Thanh Hóa, Nghệ An, Bình Định, Đắk Lắk, Đồng Nai.</w:t>
      </w:r>
    </w:p>
    <w:p w14:paraId="3D6540E1"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color w:val="000000"/>
          <w:sz w:val="24"/>
          <w:szCs w:val="24"/>
          <w:lang w:val="vi-VN"/>
        </w:rPr>
        <w:lastRenderedPageBreak/>
        <w:t>3. Đối với tôm sú, tôm thẻ chân trắng, cá tra, tại các tỉnh: Bến Tre, Trà Vinh, Sóc Trăng, Bạc Liêu, Cà Mau.</w:t>
      </w:r>
    </w:p>
    <w:p w14:paraId="7076BEEB"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color w:val="000000"/>
          <w:sz w:val="24"/>
          <w:szCs w:val="24"/>
          <w:lang w:val="vi-VN"/>
        </w:rPr>
        <w:t>Ủy ban nhân dân các tỉnh, thành phố trực thuộc trung ương thuộc địa bàn quy định tại khoản 1, khoản 2, khoản 3 Điều này tổ chức lựa chọn địa bàn được hỗ trợ phí bảo hiểm nông nghiệp theo quy định tại khoản 2 Điều 21 Nghị định số 58/2018/NĐ-CP ngày 18 tháng 4 năm 2018 của Chính phủ về bảo hiểm nông nghiệp.</w:t>
      </w:r>
    </w:p>
    <w:p w14:paraId="16872CA4"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b/>
          <w:bCs/>
          <w:color w:val="000000"/>
          <w:sz w:val="24"/>
          <w:szCs w:val="24"/>
          <w:lang w:val="vi-VN"/>
        </w:rPr>
        <w:t>Điều 7. Thời gian thực hiện hỗ trợ phí bảo hiểm nông nghiệp</w:t>
      </w:r>
    </w:p>
    <w:p w14:paraId="5AC85F60"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color w:val="000000"/>
          <w:sz w:val="24"/>
          <w:szCs w:val="24"/>
          <w:lang w:val="vi-VN"/>
        </w:rPr>
        <w:t>Thời gian thực hiện hỗ trợ phí bảo hiểm nông nghiệp từ ngày Quyết định này có hiệu lực đến hết ngày 31 tháng 12 năm 2025.</w:t>
      </w:r>
    </w:p>
    <w:p w14:paraId="53FFD0DF"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b/>
          <w:bCs/>
          <w:color w:val="000000"/>
          <w:sz w:val="24"/>
          <w:szCs w:val="24"/>
          <w:lang w:val="vi-VN"/>
        </w:rPr>
        <w:t>Điều 8. Mức hỗ trợ từ ngân sách trung ương cho ngân sách địa phương để thực hiện hỗ trợ phí bảo hiểm nông nghiệp</w:t>
      </w:r>
    </w:p>
    <w:p w14:paraId="17FCE38A"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color w:val="000000"/>
          <w:sz w:val="24"/>
          <w:szCs w:val="24"/>
          <w:lang w:val="vi-VN"/>
        </w:rPr>
        <w:t>Áp dụng mức hỗ trợ tối đa theo quy định tại Quyết định số 127/QĐ-TTg ngày 24 tháng 01 năm 2022 của Thủ tướng Chính phủ về nguyên tắc hỗ trợ có mục tiêu từ ngân sách trung ương cho ngân sách địa phương thực hiện các chính sách an sinh xã hội do Trung ương ban hành giai đoạn 2022 - 2025.</w:t>
      </w:r>
    </w:p>
    <w:p w14:paraId="5BB1E785"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color w:val="000000"/>
          <w:sz w:val="24"/>
          <w:szCs w:val="24"/>
          <w:lang w:val="vi-VN"/>
        </w:rPr>
        <w:t>Ủy ban nhân dân các tỉnh, thành phố trực thuộc trung ương thuộc địa bàn quy định tại khoản 1, khoản 2, khoản 3 Điều 6 có trách nhiệm bố trí ngân sách địa phương để hỗ trợ phí bảo hiểm nông nghiệp theo quy định tại Quyết định này.</w:t>
      </w:r>
    </w:p>
    <w:p w14:paraId="530BB09B"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b/>
          <w:bCs/>
          <w:color w:val="000000"/>
          <w:sz w:val="24"/>
          <w:szCs w:val="24"/>
          <w:lang w:val="vi-VN"/>
        </w:rPr>
        <w:t>Chương III</w:t>
      </w:r>
    </w:p>
    <w:p w14:paraId="02831B9B"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b/>
          <w:bCs/>
          <w:color w:val="000000"/>
          <w:sz w:val="30"/>
          <w:szCs w:val="30"/>
          <w:lang w:val="vi-VN"/>
        </w:rPr>
        <w:t>ĐIỀU KHOẢN THI HÀNH</w:t>
      </w:r>
    </w:p>
    <w:p w14:paraId="7AC6AEFF"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b/>
          <w:bCs/>
          <w:color w:val="000000"/>
          <w:sz w:val="24"/>
          <w:szCs w:val="24"/>
          <w:lang w:val="vi-VN"/>
        </w:rPr>
        <w:t>Điều 9. Hiệu lực thi hành</w:t>
      </w:r>
    </w:p>
    <w:p w14:paraId="3334547E"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color w:val="000000"/>
          <w:sz w:val="24"/>
          <w:szCs w:val="24"/>
          <w:lang w:val="vi-VN"/>
        </w:rPr>
        <w:t>1. Quyết định này có hiệu lực từ ngày 24 tháng 06 năm 2022 đến hết ngày 31 tháng 12 năm 2025.</w:t>
      </w:r>
    </w:p>
    <w:p w14:paraId="799A26E2"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color w:val="000000"/>
          <w:sz w:val="24"/>
          <w:szCs w:val="24"/>
          <w:lang w:val="vi-VN"/>
        </w:rPr>
        <w:t>2. Quyết định này thay thế Quyết định số 22/2019/QĐ-TTg ngày 26 tháng 6 năm 2019 của Thủ tướng Chính phủ về thực hiện chính sách hỗ trợ bảo hiểm nông nghiệp và Quyết định số 03/2021/QĐ-TTg ngày 25 tháng 01 năm 2021 của Thủ tướng Chính phủ về việc sửa đổi, bổ sung một số điều của Quyết định số 22/2019/QĐ-TTg ngày 26 tháng 6 năm 2019 của Thủ tướng Chính phủ về thực hiện chính sách hỗ trợ bảo hiểm nông nghiệp.</w:t>
      </w:r>
    </w:p>
    <w:p w14:paraId="29D2A663"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b/>
          <w:bCs/>
          <w:color w:val="000000"/>
          <w:sz w:val="24"/>
          <w:szCs w:val="24"/>
          <w:lang w:val="vi-VN"/>
        </w:rPr>
        <w:t>Điều 10. Trách nhiệm thi hành</w:t>
      </w:r>
    </w:p>
    <w:p w14:paraId="1145E83A"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color w:val="000000"/>
          <w:sz w:val="24"/>
          <w:szCs w:val="24"/>
          <w:lang w:val="vi-VN"/>
        </w:rPr>
        <w:t>1. Bộ Tài chính chủ trì, phối hợp với các cơ quan liên quan tổng kết, đánh giá và đề xuất xây dựng dự thảo Quyết định giai đoạn sau năm 2025.</w:t>
      </w:r>
    </w:p>
    <w:p w14:paraId="41EABEC1"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A05257">
        <w:rPr>
          <w:rFonts w:ascii="Times New Roman" w:eastAsia="Times New Roman" w:hAnsi="Times New Roman" w:cs="Times New Roman"/>
          <w:color w:val="000000"/>
          <w:sz w:val="24"/>
          <w:szCs w:val="24"/>
          <w:lang w:val="vi-VN"/>
        </w:rPr>
        <w:t>2. Bộ trưởng Bộ Tài chính, Bộ trưởng Bộ Nông nghiệp và Phát triển nông thôn, Thủ trưởng cơ quan ngang bộ, Thủ trưởng cơ quan thuộc Chính phủ, Chủ tịch Ủy ban nhân dân các tỉnh, thành phố trực thuộc trung ương chịu trách nhiệm thi hành Quyết định này.</w:t>
      </w:r>
    </w:p>
    <w:p w14:paraId="65A4C91A" w14:textId="77777777" w:rsidR="00A05257" w:rsidRPr="00A05257" w:rsidRDefault="00A05257" w:rsidP="00A05257">
      <w:pPr>
        <w:shd w:val="clear" w:color="auto" w:fill="FFFFFF"/>
        <w:spacing w:before="120" w:after="120" w:line="234" w:lineRule="atLeast"/>
        <w:jc w:val="both"/>
        <w:rPr>
          <w:rFonts w:ascii="Times New Roman" w:eastAsia="Times New Roman" w:hAnsi="Times New Roman" w:cs="Times New Roman"/>
          <w:color w:val="000000"/>
          <w:sz w:val="18"/>
          <w:szCs w:val="18"/>
        </w:rPr>
      </w:pPr>
      <w:r w:rsidRPr="00A05257">
        <w:rPr>
          <w:rFonts w:ascii="Times New Roman" w:eastAsia="Times New Roman" w:hAnsi="Times New Roman" w:cs="Times New Roman"/>
          <w:color w:val="000000"/>
          <w:sz w:val="18"/>
          <w:szCs w:val="1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908"/>
        <w:gridCol w:w="3948"/>
      </w:tblGrid>
      <w:tr w:rsidR="00A05257" w:rsidRPr="00A05257" w14:paraId="1E83EFBD" w14:textId="77777777" w:rsidTr="00A05257">
        <w:trPr>
          <w:tblCellSpacing w:w="0" w:type="dxa"/>
        </w:trPr>
        <w:tc>
          <w:tcPr>
            <w:tcW w:w="4908" w:type="dxa"/>
            <w:shd w:val="clear" w:color="auto" w:fill="FFFFFF"/>
            <w:tcMar>
              <w:top w:w="0" w:type="dxa"/>
              <w:left w:w="108" w:type="dxa"/>
              <w:bottom w:w="0" w:type="dxa"/>
              <w:right w:w="108" w:type="dxa"/>
            </w:tcMar>
            <w:hideMark/>
          </w:tcPr>
          <w:p w14:paraId="7DC3E639" w14:textId="77777777" w:rsidR="00A05257" w:rsidRPr="00A05257" w:rsidRDefault="00A05257" w:rsidP="00A05257">
            <w:pPr>
              <w:spacing w:before="120" w:after="120" w:line="234" w:lineRule="atLeast"/>
              <w:rPr>
                <w:rFonts w:ascii="Times New Roman" w:eastAsia="Times New Roman" w:hAnsi="Times New Roman" w:cs="Times New Roman"/>
                <w:color w:val="000000"/>
                <w:sz w:val="18"/>
                <w:szCs w:val="18"/>
              </w:rPr>
            </w:pPr>
            <w:r w:rsidRPr="00A05257">
              <w:rPr>
                <w:rFonts w:ascii="Times New Roman" w:eastAsia="Times New Roman" w:hAnsi="Times New Roman" w:cs="Times New Roman"/>
                <w:b/>
                <w:bCs/>
                <w:i/>
                <w:iCs/>
                <w:color w:val="000000"/>
                <w:sz w:val="18"/>
                <w:szCs w:val="18"/>
                <w:lang w:val="vi-VN"/>
              </w:rPr>
              <w:br/>
              <w:t>Nơi nhận:</w:t>
            </w:r>
            <w:r w:rsidRPr="00A05257">
              <w:rPr>
                <w:rFonts w:ascii="Times New Roman" w:eastAsia="Times New Roman" w:hAnsi="Times New Roman" w:cs="Times New Roman"/>
                <w:b/>
                <w:bCs/>
                <w:i/>
                <w:iCs/>
                <w:color w:val="000000"/>
                <w:sz w:val="18"/>
                <w:szCs w:val="18"/>
                <w:lang w:val="vi-VN"/>
              </w:rPr>
              <w:br/>
            </w:r>
            <w:r w:rsidRPr="00A05257">
              <w:rPr>
                <w:rFonts w:ascii="Times New Roman" w:eastAsia="Times New Roman" w:hAnsi="Times New Roman" w:cs="Times New Roman"/>
                <w:color w:val="000000"/>
                <w:sz w:val="16"/>
                <w:szCs w:val="16"/>
                <w:lang w:val="vi-VN"/>
              </w:rPr>
              <w:t>- Ban Bí thư Trung ương Đảng;</w:t>
            </w:r>
            <w:r w:rsidRPr="00A05257">
              <w:rPr>
                <w:rFonts w:ascii="Times New Roman" w:eastAsia="Times New Roman" w:hAnsi="Times New Roman" w:cs="Times New Roman"/>
                <w:color w:val="000000"/>
                <w:sz w:val="16"/>
                <w:szCs w:val="16"/>
                <w:lang w:val="vi-VN"/>
              </w:rPr>
              <w:br/>
              <w:t>- Thủ tướng, các Phó Thủ tướng Chính phủ;</w:t>
            </w:r>
            <w:r w:rsidRPr="00A05257">
              <w:rPr>
                <w:rFonts w:ascii="Times New Roman" w:eastAsia="Times New Roman" w:hAnsi="Times New Roman" w:cs="Times New Roman"/>
                <w:color w:val="000000"/>
                <w:sz w:val="16"/>
                <w:szCs w:val="16"/>
                <w:lang w:val="vi-VN"/>
              </w:rPr>
              <w:br/>
              <w:t>- Các bộ, cơ quan ngang bộ, cơ quan thuộc Chính phủ;</w:t>
            </w:r>
            <w:r w:rsidRPr="00A05257">
              <w:rPr>
                <w:rFonts w:ascii="Times New Roman" w:eastAsia="Times New Roman" w:hAnsi="Times New Roman" w:cs="Times New Roman"/>
                <w:color w:val="000000"/>
                <w:sz w:val="16"/>
                <w:szCs w:val="16"/>
                <w:lang w:val="vi-VN"/>
              </w:rPr>
              <w:br/>
              <w:t>- HĐND, UBND các tỉnh, thành phố trực thuộc trung ương;</w:t>
            </w:r>
            <w:r w:rsidRPr="00A05257">
              <w:rPr>
                <w:rFonts w:ascii="Times New Roman" w:eastAsia="Times New Roman" w:hAnsi="Times New Roman" w:cs="Times New Roman"/>
                <w:color w:val="000000"/>
                <w:sz w:val="16"/>
                <w:szCs w:val="16"/>
                <w:lang w:val="vi-VN"/>
              </w:rPr>
              <w:br/>
            </w:r>
            <w:r w:rsidRPr="00A05257">
              <w:rPr>
                <w:rFonts w:ascii="Times New Roman" w:eastAsia="Times New Roman" w:hAnsi="Times New Roman" w:cs="Times New Roman"/>
                <w:color w:val="000000"/>
                <w:sz w:val="16"/>
                <w:szCs w:val="16"/>
                <w:lang w:val="vi-VN"/>
              </w:rPr>
              <w:lastRenderedPageBreak/>
              <w:t>- Văn phòng Trung ương và các Ban của Đảng;</w:t>
            </w:r>
            <w:r w:rsidRPr="00A05257">
              <w:rPr>
                <w:rFonts w:ascii="Times New Roman" w:eastAsia="Times New Roman" w:hAnsi="Times New Roman" w:cs="Times New Roman"/>
                <w:color w:val="000000"/>
                <w:sz w:val="16"/>
                <w:szCs w:val="16"/>
                <w:lang w:val="vi-VN"/>
              </w:rPr>
              <w:br/>
              <w:t>- Văn phòng Tổng Bí thư;</w:t>
            </w:r>
            <w:r w:rsidRPr="00A05257">
              <w:rPr>
                <w:rFonts w:ascii="Times New Roman" w:eastAsia="Times New Roman" w:hAnsi="Times New Roman" w:cs="Times New Roman"/>
                <w:color w:val="000000"/>
                <w:sz w:val="16"/>
                <w:szCs w:val="16"/>
                <w:lang w:val="vi-VN"/>
              </w:rPr>
              <w:br/>
              <w:t>- Văn phòng Chủ tịch nước;</w:t>
            </w:r>
            <w:r w:rsidRPr="00A05257">
              <w:rPr>
                <w:rFonts w:ascii="Times New Roman" w:eastAsia="Times New Roman" w:hAnsi="Times New Roman" w:cs="Times New Roman"/>
                <w:color w:val="000000"/>
                <w:sz w:val="16"/>
                <w:szCs w:val="16"/>
                <w:lang w:val="vi-VN"/>
              </w:rPr>
              <w:br/>
              <w:t>- Hội đồng Dân tộc và các Ủy ban của Quốc hội;</w:t>
            </w:r>
            <w:r w:rsidRPr="00A05257">
              <w:rPr>
                <w:rFonts w:ascii="Times New Roman" w:eastAsia="Times New Roman" w:hAnsi="Times New Roman" w:cs="Times New Roman"/>
                <w:color w:val="000000"/>
                <w:sz w:val="16"/>
                <w:szCs w:val="16"/>
                <w:lang w:val="vi-VN"/>
              </w:rPr>
              <w:br/>
              <w:t>- Văn phòng Quốc hội;</w:t>
            </w:r>
            <w:r w:rsidRPr="00A05257">
              <w:rPr>
                <w:rFonts w:ascii="Times New Roman" w:eastAsia="Times New Roman" w:hAnsi="Times New Roman" w:cs="Times New Roman"/>
                <w:color w:val="000000"/>
                <w:sz w:val="16"/>
                <w:szCs w:val="16"/>
                <w:lang w:val="vi-VN"/>
              </w:rPr>
              <w:br/>
              <w:t>- Tòa án nhân dân tối cao;</w:t>
            </w:r>
            <w:r w:rsidRPr="00A05257">
              <w:rPr>
                <w:rFonts w:ascii="Times New Roman" w:eastAsia="Times New Roman" w:hAnsi="Times New Roman" w:cs="Times New Roman"/>
                <w:color w:val="000000"/>
                <w:sz w:val="16"/>
                <w:szCs w:val="16"/>
                <w:lang w:val="vi-VN"/>
              </w:rPr>
              <w:br/>
              <w:t>- Viện kiểm sát nhân dân tối cao;</w:t>
            </w:r>
            <w:r w:rsidRPr="00A05257">
              <w:rPr>
                <w:rFonts w:ascii="Times New Roman" w:eastAsia="Times New Roman" w:hAnsi="Times New Roman" w:cs="Times New Roman"/>
                <w:color w:val="000000"/>
                <w:sz w:val="16"/>
                <w:szCs w:val="16"/>
                <w:lang w:val="vi-VN"/>
              </w:rPr>
              <w:br/>
              <w:t>- Kiểm toán nhà nước;</w:t>
            </w:r>
            <w:r w:rsidRPr="00A05257">
              <w:rPr>
                <w:rFonts w:ascii="Times New Roman" w:eastAsia="Times New Roman" w:hAnsi="Times New Roman" w:cs="Times New Roman"/>
                <w:color w:val="000000"/>
                <w:sz w:val="16"/>
                <w:szCs w:val="16"/>
                <w:lang w:val="vi-VN"/>
              </w:rPr>
              <w:br/>
              <w:t>- Ủy ban Giám sát tài chính Quốc gia;</w:t>
            </w:r>
            <w:r w:rsidRPr="00A05257">
              <w:rPr>
                <w:rFonts w:ascii="Times New Roman" w:eastAsia="Times New Roman" w:hAnsi="Times New Roman" w:cs="Times New Roman"/>
                <w:color w:val="000000"/>
                <w:sz w:val="16"/>
                <w:szCs w:val="16"/>
                <w:lang w:val="vi-VN"/>
              </w:rPr>
              <w:br/>
              <w:t>- Ngân hàng Chính sách xã hội;</w:t>
            </w:r>
            <w:r w:rsidRPr="00A05257">
              <w:rPr>
                <w:rFonts w:ascii="Times New Roman" w:eastAsia="Times New Roman" w:hAnsi="Times New Roman" w:cs="Times New Roman"/>
                <w:color w:val="000000"/>
                <w:sz w:val="16"/>
                <w:szCs w:val="16"/>
                <w:lang w:val="vi-VN"/>
              </w:rPr>
              <w:br/>
              <w:t>- Ngân hàng Phát triển Việt Nam;</w:t>
            </w:r>
            <w:r w:rsidRPr="00A05257">
              <w:rPr>
                <w:rFonts w:ascii="Times New Roman" w:eastAsia="Times New Roman" w:hAnsi="Times New Roman" w:cs="Times New Roman"/>
                <w:color w:val="000000"/>
                <w:sz w:val="16"/>
                <w:szCs w:val="16"/>
                <w:lang w:val="vi-VN"/>
              </w:rPr>
              <w:br/>
              <w:t>- Ủy ban trung ương Mặt trận Tổ quốc Việt Nam;</w:t>
            </w:r>
            <w:r w:rsidRPr="00A05257">
              <w:rPr>
                <w:rFonts w:ascii="Times New Roman" w:eastAsia="Times New Roman" w:hAnsi="Times New Roman" w:cs="Times New Roman"/>
                <w:color w:val="000000"/>
                <w:sz w:val="16"/>
                <w:szCs w:val="16"/>
                <w:lang w:val="vi-VN"/>
              </w:rPr>
              <w:br/>
              <w:t>- Cơ quan trung ương của các đoàn thể;</w:t>
            </w:r>
            <w:r w:rsidRPr="00A05257">
              <w:rPr>
                <w:rFonts w:ascii="Times New Roman" w:eastAsia="Times New Roman" w:hAnsi="Times New Roman" w:cs="Times New Roman"/>
                <w:color w:val="000000"/>
                <w:sz w:val="16"/>
                <w:szCs w:val="16"/>
                <w:lang w:val="vi-VN"/>
              </w:rPr>
              <w:br/>
              <w:t>- VPCP: BTCN, các PCN, Trợ lý TTg, TGĐ Cổng TTĐT,</w:t>
            </w:r>
            <w:r w:rsidRPr="00A05257">
              <w:rPr>
                <w:rFonts w:ascii="Times New Roman" w:eastAsia="Times New Roman" w:hAnsi="Times New Roman" w:cs="Times New Roman"/>
                <w:color w:val="000000"/>
                <w:sz w:val="16"/>
                <w:szCs w:val="16"/>
                <w:lang w:val="vi-VN"/>
              </w:rPr>
              <w:br/>
              <w:t>các Vụ, Cục, đơn vị trực thuộc, Công báo;</w:t>
            </w:r>
            <w:r w:rsidRPr="00A05257">
              <w:rPr>
                <w:rFonts w:ascii="Times New Roman" w:eastAsia="Times New Roman" w:hAnsi="Times New Roman" w:cs="Times New Roman"/>
                <w:color w:val="000000"/>
                <w:sz w:val="16"/>
                <w:szCs w:val="16"/>
                <w:lang w:val="vi-VN"/>
              </w:rPr>
              <w:br/>
              <w:t>- Lưu: VT, KTTH (2b).</w:t>
            </w:r>
          </w:p>
        </w:tc>
        <w:tc>
          <w:tcPr>
            <w:tcW w:w="3948" w:type="dxa"/>
            <w:shd w:val="clear" w:color="auto" w:fill="FFFFFF"/>
            <w:tcMar>
              <w:top w:w="0" w:type="dxa"/>
              <w:left w:w="108" w:type="dxa"/>
              <w:bottom w:w="0" w:type="dxa"/>
              <w:right w:w="108" w:type="dxa"/>
            </w:tcMar>
            <w:hideMark/>
          </w:tcPr>
          <w:p w14:paraId="5F641B9B" w14:textId="77777777" w:rsidR="00A05257" w:rsidRPr="00A05257" w:rsidRDefault="00A05257" w:rsidP="00A05257">
            <w:pPr>
              <w:spacing w:before="120" w:after="120" w:line="234" w:lineRule="atLeast"/>
              <w:jc w:val="center"/>
              <w:rPr>
                <w:rFonts w:ascii="Times New Roman" w:eastAsia="Times New Roman" w:hAnsi="Times New Roman" w:cs="Times New Roman"/>
                <w:color w:val="000000"/>
                <w:sz w:val="18"/>
                <w:szCs w:val="18"/>
              </w:rPr>
            </w:pPr>
            <w:r w:rsidRPr="00A05257">
              <w:rPr>
                <w:rFonts w:ascii="Times New Roman" w:eastAsia="Times New Roman" w:hAnsi="Times New Roman" w:cs="Times New Roman"/>
                <w:b/>
                <w:bCs/>
                <w:color w:val="000000"/>
                <w:sz w:val="18"/>
                <w:szCs w:val="18"/>
                <w:lang w:val="vi-VN"/>
              </w:rPr>
              <w:lastRenderedPageBreak/>
              <w:t>KT. THỦ TƯỚNG</w:t>
            </w:r>
            <w:r w:rsidRPr="00A05257">
              <w:rPr>
                <w:rFonts w:ascii="Times New Roman" w:eastAsia="Times New Roman" w:hAnsi="Times New Roman" w:cs="Times New Roman"/>
                <w:b/>
                <w:bCs/>
                <w:color w:val="000000"/>
                <w:sz w:val="18"/>
                <w:szCs w:val="18"/>
                <w:lang w:val="vi-VN"/>
              </w:rPr>
              <w:br/>
              <w:t>PHÓ THỦ TƯỚNG</w:t>
            </w:r>
            <w:r w:rsidRPr="00A05257">
              <w:rPr>
                <w:rFonts w:ascii="Times New Roman" w:eastAsia="Times New Roman" w:hAnsi="Times New Roman" w:cs="Times New Roman"/>
                <w:b/>
                <w:bCs/>
                <w:color w:val="000000"/>
                <w:sz w:val="18"/>
                <w:szCs w:val="18"/>
                <w:lang w:val="vi-VN"/>
              </w:rPr>
              <w:br/>
            </w:r>
            <w:r w:rsidRPr="00A05257">
              <w:rPr>
                <w:rFonts w:ascii="Times New Roman" w:eastAsia="Times New Roman" w:hAnsi="Times New Roman" w:cs="Times New Roman"/>
                <w:b/>
                <w:bCs/>
                <w:color w:val="000000"/>
                <w:sz w:val="18"/>
                <w:szCs w:val="18"/>
                <w:lang w:val="vi-VN"/>
              </w:rPr>
              <w:br/>
            </w:r>
            <w:r w:rsidRPr="00A05257">
              <w:rPr>
                <w:rFonts w:ascii="Times New Roman" w:eastAsia="Times New Roman" w:hAnsi="Times New Roman" w:cs="Times New Roman"/>
                <w:b/>
                <w:bCs/>
                <w:color w:val="000000"/>
                <w:sz w:val="18"/>
                <w:szCs w:val="18"/>
                <w:lang w:val="vi-VN"/>
              </w:rPr>
              <w:br/>
            </w:r>
            <w:r w:rsidRPr="00A05257">
              <w:rPr>
                <w:rFonts w:ascii="Times New Roman" w:eastAsia="Times New Roman" w:hAnsi="Times New Roman" w:cs="Times New Roman"/>
                <w:b/>
                <w:bCs/>
                <w:color w:val="000000"/>
                <w:sz w:val="18"/>
                <w:szCs w:val="18"/>
                <w:lang w:val="vi-VN"/>
              </w:rPr>
              <w:br/>
            </w:r>
            <w:r w:rsidRPr="00A05257">
              <w:rPr>
                <w:rFonts w:ascii="Times New Roman" w:eastAsia="Times New Roman" w:hAnsi="Times New Roman" w:cs="Times New Roman"/>
                <w:b/>
                <w:bCs/>
                <w:color w:val="000000"/>
                <w:sz w:val="18"/>
                <w:szCs w:val="18"/>
                <w:lang w:val="vi-VN"/>
              </w:rPr>
              <w:lastRenderedPageBreak/>
              <w:br/>
              <w:t>Lê Minh Khái</w:t>
            </w:r>
          </w:p>
        </w:tc>
      </w:tr>
    </w:tbl>
    <w:p w14:paraId="0ED3AB99" w14:textId="77777777" w:rsidR="00A05257" w:rsidRPr="00A05257" w:rsidRDefault="00A05257" w:rsidP="00A05257">
      <w:pPr>
        <w:jc w:val="both"/>
        <w:rPr>
          <w:rFonts w:ascii="Times New Roman" w:hAnsi="Times New Roman" w:cs="Times New Roman"/>
        </w:rPr>
      </w:pPr>
    </w:p>
    <w:sectPr w:rsidR="00A05257" w:rsidRPr="00A052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257"/>
    <w:rsid w:val="00A05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08473"/>
  <w15:chartTrackingRefBased/>
  <w15:docId w15:val="{04E2F214-D9C0-40E4-8BAA-96B03EC7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52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46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1552</Words>
  <Characters>8847</Characters>
  <Application>Microsoft Office Word</Application>
  <DocSecurity>0</DocSecurity>
  <Lines>73</Lines>
  <Paragraphs>20</Paragraphs>
  <ScaleCrop>false</ScaleCrop>
  <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Anh</dc:creator>
  <cp:keywords/>
  <dc:description/>
  <cp:lastModifiedBy>Le Anh</cp:lastModifiedBy>
  <cp:revision>1</cp:revision>
  <dcterms:created xsi:type="dcterms:W3CDTF">2022-05-13T04:31:00Z</dcterms:created>
  <dcterms:modified xsi:type="dcterms:W3CDTF">2022-05-13T04:33:00Z</dcterms:modified>
</cp:coreProperties>
</file>